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shd w:fill="FFFFFF" w:val="clear"/>
          <w:color w:val="auto"/>
        </w:rPr>
      </w:pPr>
      <w:r>
        <w:rPr>
          <w:shd w:fill="FFFFFF" w:val="clear"/>
        </w:rPr>
      </w:r>
      <w:r/>
    </w:p>
    <w:p>
      <w:pPr>
        <w:pStyle w:val="Normal"/>
        <w:spacing w:lineRule="auto" w:line="240"/>
        <w:ind w:left="5310" w:right="0" w:hanging="0"/>
        <w:rPr>
          <w:shd w:fill="FFFFFF" w:val="clear"/>
          <w:color w:val="auto"/>
        </w:rPr>
      </w:pPr>
      <w:r>
        <w:rPr>
          <w:shd w:fill="FFFFFF" w:val="clear"/>
        </w:rPr>
      </w:r>
      <w:r/>
    </w:p>
    <w:p>
      <w:pPr>
        <w:pStyle w:val="Normal"/>
        <w:numPr>
          <w:ilvl w:val="0"/>
          <w:numId w:val="0"/>
        </w:numPr>
        <w:spacing w:lineRule="auto" w:line="240"/>
        <w:ind w:left="5295" w:right="0" w:hanging="360"/>
        <w:jc w:val="left"/>
      </w:pPr>
      <w:r>
        <w:rPr>
          <w:sz w:val="28"/>
          <w:szCs w:val="28"/>
          <w:shd w:fill="FFFFFF" w:val="clear"/>
        </w:rPr>
        <w:t xml:space="preserve">1. 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val="ru-RU"/>
        </w:rPr>
        <w:t>Государственное бюджетное учреждение здравоохранения города Москвы "Городская клиническая больница № 31 Департамента здравоохранения города Москвы"</w:t>
      </w:r>
      <w:r/>
    </w:p>
    <w:p>
      <w:pPr>
        <w:pStyle w:val="Standard"/>
        <w:numPr>
          <w:ilvl w:val="0"/>
          <w:numId w:val="0"/>
        </w:numPr>
        <w:spacing w:lineRule="auto" w:line="240"/>
        <w:ind w:left="5295" w:right="0" w:hanging="360"/>
        <w:jc w:val="left"/>
        <w:rPr>
          <w:sz w:val="28"/>
          <w:sz w:val="28"/>
          <w:szCs w:val="28"/>
          <w:rFonts w:ascii="Times New Roman" w:hAnsi="Times New Roman" w:eastAsia="Arial Unicode MS" w:cs="Arial"/>
          <w:color w:val="000000"/>
          <w:lang w:val="ru-RU" w:eastAsia="zh-CN" w:bidi="ar-SA"/>
        </w:rPr>
      </w:pPr>
      <w:r>
        <w:rPr>
          <w:color w:val="000000"/>
          <w:szCs w:val="28"/>
        </w:rPr>
        <w:t xml:space="preserve">119415, г.Москва, ул. Лобачевского, 42 </w:t>
      </w:r>
      <w:r/>
    </w:p>
    <w:p>
      <w:pPr>
        <w:pStyle w:val="Standard"/>
        <w:numPr>
          <w:ilvl w:val="0"/>
          <w:numId w:val="0"/>
        </w:numPr>
        <w:spacing w:lineRule="auto" w:line="240"/>
        <w:ind w:left="5295" w:right="0" w:hanging="360"/>
        <w:jc w:val="left"/>
        <w:rPr>
          <w:sz w:val="28"/>
          <w:sz w:val="28"/>
          <w:szCs w:val="28"/>
          <w:rFonts w:ascii="Times New Roman" w:hAnsi="Times New Roman" w:eastAsia="Times-Roman;Times New Roman" w:cs="Times-Roman;Times New Roman"/>
          <w:color w:val="000000"/>
          <w:lang w:val="ru-RU" w:eastAsia="zh-CN" w:bidi="ar-SA"/>
        </w:rPr>
      </w:pPr>
      <w:r>
        <w:rPr>
          <w:rFonts w:eastAsia="Times-Roman;Times New Roman" w:cs="Times-Roman;Times New Roman"/>
          <w:color w:val="000000"/>
          <w:szCs w:val="28"/>
        </w:rPr>
      </w:r>
      <w:r/>
    </w:p>
    <w:p>
      <w:pPr>
        <w:pStyle w:val="Standard"/>
        <w:numPr>
          <w:ilvl w:val="0"/>
          <w:numId w:val="0"/>
        </w:numPr>
        <w:spacing w:lineRule="auto" w:line="240"/>
        <w:ind w:left="5295" w:right="0" w:hanging="360"/>
        <w:jc w:val="left"/>
      </w:pPr>
      <w:r>
        <w:rPr>
          <w:rFonts w:cs="Times New Roman"/>
          <w:color w:val="000000"/>
          <w:szCs w:val="28"/>
        </w:rPr>
        <w:t xml:space="preserve">2. </w:t>
      </w:r>
      <w:r>
        <w:rPr/>
        <w:t>ООО "ИКАНД"</w:t>
      </w:r>
      <w:r/>
    </w:p>
    <w:p>
      <w:pPr>
        <w:pStyle w:val="NoSpacing"/>
        <w:numPr>
          <w:ilvl w:val="0"/>
          <w:numId w:val="0"/>
        </w:numPr>
        <w:spacing w:lineRule="auto" w:line="240"/>
        <w:ind w:left="5295" w:right="0" w:hanging="360"/>
        <w:jc w:val="left"/>
        <w:rPr>
          <w:sz w:val="28"/>
          <w:sz w:val="28"/>
          <w:szCs w:val="28"/>
          <w:bCs/>
          <w:rFonts w:ascii="Times New Roman" w:hAnsi="Times New Roman" w:eastAsia="Helvetica;Arial" w:cs="Helvetica;Arial"/>
          <w:color w:val="222222"/>
          <w:lang w:val="ru-RU" w:eastAsia="zh-CN" w:bidi="ar-SA"/>
        </w:rPr>
      </w:pPr>
      <w:r>
        <w:rPr>
          <w:rFonts w:eastAsia="Helvetica;Arial" w:cs="Helvetica;Arial"/>
          <w:bCs/>
          <w:color w:val="222222"/>
          <w:sz w:val="28"/>
          <w:szCs w:val="28"/>
        </w:rPr>
        <w:t>119331, г.Москва ул. Марии Ульяновой д.11</w:t>
      </w:r>
      <w:r/>
    </w:p>
    <w:p>
      <w:pPr>
        <w:pStyle w:val="Standard"/>
        <w:numPr>
          <w:ilvl w:val="0"/>
          <w:numId w:val="0"/>
        </w:numPr>
        <w:spacing w:lineRule="auto" w:line="240"/>
        <w:ind w:left="5295" w:right="0" w:hanging="360"/>
        <w:jc w:val="left"/>
        <w:rPr>
          <w:sz w:val="28"/>
          <w:sz w:val="28"/>
          <w:szCs w:val="28"/>
          <w:rFonts w:ascii="Times New Roman" w:hAnsi="Times New Roman" w:eastAsia="Arial Unicode MS" w:cs="Times New Roman"/>
          <w:color w:val="000000"/>
          <w:lang w:val="ru-RU" w:eastAsia="zh-CN" w:bidi="ar-SA"/>
        </w:rPr>
      </w:pPr>
      <w:r>
        <w:rPr>
          <w:rFonts w:cs="Times New Roman"/>
          <w:color w:val="000000"/>
          <w:szCs w:val="28"/>
        </w:rPr>
      </w:r>
      <w:r/>
    </w:p>
    <w:p>
      <w:pPr>
        <w:pStyle w:val="Standard"/>
        <w:numPr>
          <w:ilvl w:val="0"/>
          <w:numId w:val="0"/>
        </w:numPr>
        <w:spacing w:lineRule="auto" w:line="240"/>
        <w:ind w:left="5295" w:right="0" w:hanging="360"/>
        <w:jc w:val="left"/>
      </w:pPr>
      <w:r>
        <w:rPr>
          <w:rFonts w:eastAsia="Times-Roman;Times New Roman" w:cs="Times New Roman"/>
          <w:color w:val="000000"/>
          <w:szCs w:val="28"/>
        </w:rPr>
        <w:t xml:space="preserve">3. </w:t>
      </w:r>
      <w:r>
        <w:rPr>
          <w:rFonts w:eastAsia="Times New Roman CYR" w:cs="Times New Roman CYR" w:ascii="Times New Roman CYR" w:hAnsi="Times New Roman CYR"/>
          <w:color w:val="000000"/>
          <w:sz w:val="28"/>
          <w:szCs w:val="28"/>
        </w:rPr>
        <w:t xml:space="preserve">ОАО </w:t>
      </w:r>
      <w:r>
        <w:rPr>
          <w:rFonts w:eastAsia="Times New Roman CYR" w:cs="Times New Roman CYR" w:ascii="Times New Roman CYR" w:hAnsi="Times New Roman CYR"/>
          <w:color w:val="000000"/>
          <w:sz w:val="28"/>
          <w:szCs w:val="28"/>
          <w:lang w:val="en-US"/>
        </w:rPr>
        <w:t>"</w:t>
      </w:r>
      <w:r>
        <w:rPr>
          <w:rFonts w:eastAsia="Times New Roman CYR" w:cs="Times New Roman CYR" w:ascii="Times New Roman CYR" w:hAnsi="Times New Roman CYR"/>
          <w:color w:val="000000"/>
          <w:sz w:val="28"/>
          <w:szCs w:val="28"/>
        </w:rPr>
        <w:t>Единая электронная торговая площадка"</w:t>
      </w:r>
      <w:r/>
    </w:p>
    <w:p>
      <w:pPr>
        <w:pStyle w:val="Normal"/>
        <w:numPr>
          <w:ilvl w:val="0"/>
          <w:numId w:val="0"/>
        </w:numPr>
        <w:spacing w:lineRule="auto" w:line="240"/>
        <w:ind w:left="5295" w:right="0" w:hanging="360"/>
        <w:jc w:val="left"/>
        <w:rPr>
          <w:sz w:val="28"/>
          <w:b w:val="false"/>
          <w:shd w:fill="auto" w:val="clear"/>
          <w:sz w:val="28"/>
          <w:b w:val="false"/>
          <w:szCs w:val="28"/>
          <w:bCs w:val="false"/>
          <w:rFonts w:ascii="Times New Roman" w:hAnsi="Times New Roman" w:eastAsia="Times New Roman CYR" w:cs="Times New Roman"/>
          <w:color w:val="000000"/>
          <w:lang w:val="ru-RU"/>
        </w:rPr>
      </w:pPr>
      <w:r>
        <w:rPr>
          <w:rFonts w:eastAsia="Times New Roman CYR" w:cs="Times New Roman"/>
          <w:b w:val="false"/>
          <w:bCs w:val="false"/>
          <w:color w:val="000000"/>
          <w:sz w:val="28"/>
          <w:szCs w:val="28"/>
          <w:shd w:fill="auto" w:val="clear"/>
          <w:lang w:val="ru-RU"/>
        </w:rPr>
        <w:t>117312, г.Москва, проспект 60-я Октября, д. 9</w:t>
      </w:r>
      <w:r/>
    </w:p>
    <w:p>
      <w:pPr>
        <w:pStyle w:val="Normal"/>
        <w:widowControl w:val="false"/>
        <w:tabs>
          <w:tab w:val="left" w:pos="4905" w:leader="none"/>
        </w:tabs>
        <w:suppressAutoHyphens w:val="true"/>
        <w:spacing w:lineRule="auto" w:line="240" w:before="0" w:after="0"/>
        <w:ind w:left="4680" w:right="0" w:hanging="0"/>
        <w:rPr>
          <w:sz w:val="20"/>
          <w:shd w:fill="FFFFFF" w:val="clear"/>
          <w:sz w:val="20"/>
          <w:szCs w:val="20"/>
          <w:rFonts w:ascii="Times New Roman" w:hAnsi="Times New Roman" w:eastAsia="Times New Roman" w:cs="Times New Roman"/>
          <w:color w:val="auto"/>
          <w:lang w:eastAsia="ar-SA"/>
        </w:rPr>
      </w:pPr>
      <w:r>
        <w:rPr>
          <w:rFonts w:eastAsia="Times New Roman" w:cs="Times New Roman"/>
          <w:sz w:val="20"/>
          <w:szCs w:val="20"/>
          <w:shd w:fill="FFFFFF" w:val="clear"/>
          <w:lang w:eastAsia="ar-SA"/>
        </w:rPr>
      </w:r>
      <w:r/>
    </w:p>
    <w:p>
      <w:pPr>
        <w:pStyle w:val="Normal"/>
        <w:widowControl w:val="false"/>
        <w:tabs>
          <w:tab w:val="left" w:pos="4905" w:leader="none"/>
        </w:tabs>
        <w:suppressAutoHyphens w:val="true"/>
        <w:spacing w:lineRule="auto" w:line="240" w:before="0" w:after="0"/>
        <w:rPr>
          <w:sz w:val="28"/>
          <w:shd w:fill="FFFFFF" w:val="clear"/>
          <w:sz w:val="28"/>
          <w:szCs w:val="28"/>
          <w:rFonts w:ascii="Times New Roman" w:hAnsi="Times New Roman" w:eastAsia="Times New Roman" w:cs="Times New Roman"/>
          <w:color w:val="auto"/>
          <w:lang w:eastAsia="ar-SA"/>
        </w:rPr>
      </w:pPr>
      <w:r>
        <w:rPr>
          <w:rFonts w:eastAsia="Times New Roman" w:cs="Times New Roman"/>
          <w:sz w:val="28"/>
          <w:szCs w:val="28"/>
          <w:shd w:fill="FFFFFF" w:val="clear"/>
          <w:lang w:eastAsia="ar-SA"/>
        </w:rPr>
      </w:r>
      <w:r/>
    </w:p>
    <w:p>
      <w:pPr>
        <w:pStyle w:val="Normal"/>
        <w:keepNext/>
        <w:widowControl w:val="false"/>
        <w:numPr>
          <w:ilvl w:val="1"/>
          <w:numId w:val="1"/>
        </w:numPr>
        <w:suppressAutoHyphens w:val="true"/>
        <w:spacing w:lineRule="auto" w:line="240" w:before="0" w:after="0"/>
        <w:ind w:left="15" w:right="0" w:hanging="30"/>
        <w:jc w:val="center"/>
        <w:rPr>
          <w:sz w:val="28"/>
          <w:b/>
          <w:shd w:fill="FFFFFF" w:val="clear"/>
          <w:sz w:val="28"/>
          <w:b/>
          <w:szCs w:val="28"/>
          <w:bCs/>
          <w:rFonts w:ascii="Times New Roman" w:hAnsi="Times New Roman" w:eastAsia="Times New Roman" w:cs="Times New Roman"/>
          <w:color w:val="auto"/>
          <w:lang w:eastAsia="ar-SA"/>
        </w:rPr>
      </w:pPr>
      <w:r>
        <w:rPr>
          <w:rFonts w:eastAsia="Times New Roman" w:cs="Times New Roman"/>
          <w:b/>
          <w:bCs/>
          <w:sz w:val="28"/>
          <w:szCs w:val="28"/>
          <w:shd w:fill="FFFFFF" w:val="clear"/>
          <w:lang w:eastAsia="ar-SA"/>
        </w:rPr>
        <w:t xml:space="preserve">ПРЕДПИСАНИЕ </w:t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15" w:right="0" w:firstLine="600"/>
        <w:jc w:val="center"/>
        <w:rPr>
          <w:sz w:val="28"/>
          <w:b/>
          <w:shd w:fill="FFFFFF" w:val="clear"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fill="FFFFFF" w:val="clear"/>
          <w:lang w:eastAsia="ar-SA"/>
        </w:rPr>
        <w:t xml:space="preserve">по делу № 2-57-7685/77-14 об устранении нарушений </w:t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15" w:right="0" w:firstLine="600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shd w:fill="FFFFFF" w:val="clear"/>
          <w:lang w:eastAsia="ar-SA"/>
        </w:rPr>
        <w:t xml:space="preserve">законодательства </w:t>
      </w:r>
      <w:r>
        <w:rPr>
          <w:rStyle w:val="Tendersubject1"/>
          <w:rFonts w:eastAsia="Arial" w:cs="Arial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8"/>
          <w:szCs w:val="28"/>
          <w:u w:val="none"/>
          <w:shd w:fill="FFFFFF" w:val="clear"/>
          <w:vertAlign w:val="baseline"/>
          <w:em w:val="none"/>
          <w:lang w:val="ru-RU" w:eastAsia="ru-RU" w:bidi="en-US"/>
        </w:rPr>
        <w:t>об осуществлении закупок</w:t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15" w:right="0" w:firstLine="600"/>
        <w:jc w:val="center"/>
        <w:rPr>
          <w:sz w:val="28"/>
          <w:spacing w:val="-3"/>
          <w:b/>
          <w:shd w:fill="FFFFFF" w:val="clear"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eastAsia="Times New Roman" w:cs="Times New Roman"/>
          <w:b/>
          <w:bCs/>
          <w:color w:val="000000"/>
          <w:spacing w:val="-3"/>
          <w:sz w:val="28"/>
          <w:szCs w:val="28"/>
          <w:shd w:fill="FFFFFF" w:val="clear"/>
          <w:lang w:eastAsia="ar-SA"/>
        </w:rPr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15" w:right="0" w:hanging="0"/>
        <w:rPr>
          <w:sz w:val="28"/>
          <w:b/>
          <w:shd w:fill="FFFFFF" w:val="clear"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fill="FFFFFF" w:val="clear"/>
          <w:lang w:eastAsia="ar-SA"/>
        </w:rPr>
        <w:t xml:space="preserve">       </w:t>
      </w:r>
      <w:r>
        <w:rPr>
          <w:rFonts w:eastAsia="Times New Roman" w:cs="Times New Roman"/>
          <w:b/>
          <w:bCs/>
          <w:color w:val="000000"/>
          <w:sz w:val="28"/>
          <w:szCs w:val="28"/>
          <w:shd w:fill="FFFFFF" w:val="clear"/>
          <w:lang w:eastAsia="ar-SA"/>
        </w:rPr>
        <w:t>20.10.2014                                                                                                   г. Москва</w:t>
      </w:r>
      <w:r/>
    </w:p>
    <w:p>
      <w:pPr>
        <w:pStyle w:val="Normal"/>
        <w:shd w:fill="FFFFFF" w:val="clear"/>
        <w:spacing w:lineRule="auto" w:line="240" w:before="0" w:after="0"/>
        <w:ind w:left="0" w:right="0" w:firstLine="510"/>
        <w:jc w:val="both"/>
        <w:rPr>
          <w:sz w:val="28"/>
          <w:spacing w:val="6"/>
          <w:sz w:val="28"/>
          <w:szCs w:val="28"/>
          <w:color w:val="000000"/>
        </w:rPr>
      </w:pPr>
      <w:r>
        <w:rPr>
          <w:color w:val="000000"/>
          <w:spacing w:val="6"/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firstLine="525"/>
        <w:jc w:val="both"/>
      </w:pPr>
      <w:r>
        <w:rPr>
          <w:color w:val="000000"/>
          <w:spacing w:val="6"/>
          <w:sz w:val="28"/>
          <w:szCs w:val="28"/>
        </w:rPr>
        <w:t xml:space="preserve">Комиссия </w:t>
      </w:r>
      <w:r>
        <w:rPr>
          <w:color w:val="000000"/>
          <w:spacing w:val="1"/>
          <w:sz w:val="28"/>
          <w:szCs w:val="28"/>
        </w:rPr>
        <w:t>по контролю в</w:t>
      </w:r>
      <w:r>
        <w:rPr>
          <w:color w:val="000000"/>
          <w:spacing w:val="1"/>
          <w:sz w:val="28"/>
          <w:szCs w:val="28"/>
          <w:shd w:fill="FFFFFF" w:val="clear"/>
        </w:rPr>
        <w:t xml:space="preserve"> сфере </w:t>
      </w:r>
      <w:r>
        <w:rPr>
          <w:color w:val="000000"/>
          <w:spacing w:val="1"/>
          <w:sz w:val="28"/>
          <w:szCs w:val="28"/>
          <w:shd w:fill="FFFFFF" w:val="clear"/>
          <w:lang w:val="ru-RU"/>
        </w:rPr>
        <w:t>закупок товаров, работ, услуг</w:t>
      </w:r>
      <w:r>
        <w:rPr>
          <w:color w:val="1F497D"/>
          <w:spacing w:val="1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Управления Федеральной антимонопольной службы по </w:t>
      </w:r>
      <w:r>
        <w:rPr>
          <w:color w:val="000000"/>
          <w:spacing w:val="6"/>
          <w:sz w:val="28"/>
          <w:szCs w:val="28"/>
          <w:lang w:val="ru-RU"/>
        </w:rPr>
        <w:t xml:space="preserve">г. </w:t>
      </w:r>
      <w:r>
        <w:rPr>
          <w:color w:val="000000"/>
          <w:spacing w:val="6"/>
          <w:sz w:val="28"/>
          <w:szCs w:val="28"/>
        </w:rPr>
        <w:t>Москве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(далее – Комиссия Управления) в </w:t>
      </w:r>
      <w:r>
        <w:rPr>
          <w:color w:val="000000"/>
          <w:spacing w:val="-2"/>
          <w:sz w:val="28"/>
          <w:szCs w:val="28"/>
          <w:lang w:val="ru-RU"/>
        </w:rPr>
        <w:t>составе:</w:t>
      </w:r>
      <w:r/>
    </w:p>
    <w:p>
      <w:pPr>
        <w:pStyle w:val="Normal"/>
        <w:spacing w:lineRule="auto" w:line="240" w:before="0" w:after="0"/>
        <w:ind w:left="0" w:right="0" w:firstLine="525"/>
        <w:jc w:val="both"/>
      </w:pPr>
      <w:r>
        <w:rPr>
          <w:color w:val="000000"/>
          <w:spacing w:val="-2"/>
          <w:sz w:val="28"/>
          <w:szCs w:val="28"/>
          <w:shd w:fill="auto" w:val="clear"/>
          <w:lang w:val="ru-RU"/>
        </w:rPr>
        <w:t>Председателя комиссии — начальника отдела</w:t>
      </w:r>
      <w:r>
        <w:rPr>
          <w:rFonts w:cs="Times New Roman"/>
          <w:b w:val="false"/>
          <w:bCs w:val="false"/>
          <w:color w:val="000000"/>
          <w:spacing w:val="1"/>
          <w:sz w:val="28"/>
          <w:szCs w:val="28"/>
          <w:u w:val="none"/>
          <w:shd w:fill="auto" w:val="clear"/>
          <w:lang w:val="ru-RU"/>
        </w:rPr>
        <w:t xml:space="preserve"> обжалования государственных закупок Е.А. Исаевой,</w:t>
      </w:r>
      <w:r/>
    </w:p>
    <w:p>
      <w:pPr>
        <w:pStyle w:val="Normal"/>
        <w:shd w:fill="FFFFFF" w:val="clear"/>
        <w:spacing w:lineRule="auto" w:line="240" w:before="0" w:after="0"/>
        <w:ind w:left="0" w:right="0" w:firstLine="525"/>
        <w:jc w:val="both"/>
      </w:pPr>
      <w:r>
        <w:rPr>
          <w:color w:val="000000"/>
          <w:spacing w:val="-2"/>
          <w:sz w:val="28"/>
          <w:szCs w:val="28"/>
          <w:lang w:val="ru-RU"/>
        </w:rPr>
        <w:t>Заместителя председателя - заместителя начальника</w:t>
      </w:r>
      <w:r>
        <w:rPr>
          <w:rFonts w:cs="Times New Roman"/>
          <w:b w:val="false"/>
          <w:bCs w:val="false"/>
          <w:color w:val="000000"/>
          <w:spacing w:val="1"/>
          <w:sz w:val="28"/>
          <w:szCs w:val="28"/>
          <w:u w:val="none"/>
          <w:shd w:fill="auto" w:val="clear"/>
          <w:lang w:val="ru-RU"/>
        </w:rPr>
        <w:t xml:space="preserve"> </w:t>
      </w:r>
      <w:r>
        <w:rPr>
          <w:rFonts w:cs="Times New Roman"/>
          <w:b w:val="false"/>
          <w:bCs w:val="false"/>
          <w:color w:val="000000"/>
          <w:spacing w:val="-2"/>
          <w:sz w:val="28"/>
          <w:szCs w:val="28"/>
          <w:u w:val="none"/>
          <w:shd w:fill="auto" w:val="clear"/>
          <w:lang w:val="ru-RU"/>
        </w:rPr>
        <w:t>отдела</w:t>
      </w:r>
      <w:r>
        <w:rPr>
          <w:rFonts w:cs="Times New Roman"/>
          <w:b w:val="false"/>
          <w:bCs w:val="false"/>
          <w:color w:val="000000"/>
          <w:spacing w:val="1"/>
          <w:sz w:val="28"/>
          <w:szCs w:val="28"/>
          <w:u w:val="none"/>
          <w:shd w:fill="auto" w:val="clear"/>
          <w:lang w:val="ru-RU"/>
        </w:rPr>
        <w:t xml:space="preserve"> обжалования государственных закупок Т.А. Логиновой,</w:t>
      </w:r>
      <w:r/>
    </w:p>
    <w:p>
      <w:pPr>
        <w:pStyle w:val="Normal"/>
        <w:spacing w:lineRule="auto" w:line="240" w:before="0" w:after="0"/>
        <w:ind w:left="0" w:right="0" w:firstLine="525"/>
        <w:jc w:val="both"/>
      </w:pPr>
      <w:r>
        <w:rPr>
          <w:color w:val="000000"/>
          <w:sz w:val="28"/>
          <w:szCs w:val="28"/>
        </w:rPr>
        <w:t>член</w:t>
      </w:r>
      <w:r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</w:rPr>
        <w:t xml:space="preserve"> комиссии:</w:t>
      </w:r>
      <w:r/>
    </w:p>
    <w:p>
      <w:pPr>
        <w:pStyle w:val="Normal"/>
        <w:widowControl w:val="false"/>
        <w:suppressAutoHyphens w:val="true"/>
        <w:spacing w:lineRule="auto" w:line="240" w:before="0" w:after="0"/>
        <w:ind w:left="0" w:right="0" w:firstLine="525"/>
      </w:pP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ru-RU" w:eastAsia="en-US"/>
        </w:rPr>
        <w:t>Ведущего специалиста-эксперта отдела обжалования государственных закупок Р.Г. Осипова,</w:t>
      </w:r>
      <w:r/>
    </w:p>
    <w:p>
      <w:pPr>
        <w:pStyle w:val="Normal"/>
        <w:widowControl w:val="false"/>
        <w:shd w:fill="FFFFFF" w:val="clear"/>
        <w:tabs>
          <w:tab w:val="left" w:pos="9780" w:leader="none"/>
        </w:tabs>
        <w:suppressAutoHyphens w:val="true"/>
        <w:spacing w:lineRule="auto" w:line="240" w:before="0" w:after="0"/>
        <w:ind w:left="0" w:right="0" w:firstLine="495"/>
        <w:jc w:val="both"/>
      </w:pPr>
      <w:r>
        <w:rPr>
          <w:rFonts w:eastAsia="Times New Roman" w:cs="Times New Roman"/>
          <w:sz w:val="28"/>
          <w:szCs w:val="28"/>
          <w:shd w:fill="FFFFFF" w:val="clear"/>
          <w:lang w:eastAsia="ar-SA"/>
        </w:rPr>
        <w:t>на основании решения Комиссии от 20.10.20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ar-SA"/>
        </w:rPr>
        <w:t>14 по делу №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FFFFFF" w:val="clear"/>
          <w:lang w:eastAsia="ar-SA"/>
        </w:rPr>
        <w:t>2-57-7685/77-14</w:t>
      </w:r>
      <w:r>
        <w:rPr>
          <w:rFonts w:eastAsia="Times New Roman" w:cs="Times New Roman"/>
          <w:b w:val="false"/>
          <w:bCs w:val="false"/>
          <w:sz w:val="28"/>
          <w:szCs w:val="28"/>
          <w:shd w:fill="FFFFFF" w:val="clear"/>
          <w:lang w:eastAsia="ar-SA"/>
        </w:rPr>
        <w:t>, по</w:t>
      </w:r>
      <w:r>
        <w:rPr>
          <w:rFonts w:eastAsia="Times New Roman" w:cs="Times New Roman"/>
          <w:sz w:val="28"/>
          <w:szCs w:val="28"/>
          <w:shd w:fill="FFFFFF" w:val="clear"/>
          <w:lang w:eastAsia="ar-SA"/>
        </w:rPr>
        <w:t xml:space="preserve"> итогам рассмотрения жалобы </w:t>
      </w:r>
      <w:r>
        <w:rPr>
          <w:rFonts w:eastAsia="Times-Roman;Times New Roman" w:cs="Times-Roman;Times New Roman"/>
          <w:b w:val="false"/>
          <w:bCs w:val="false"/>
          <w:i w:val="false"/>
          <w:iCs w:val="false"/>
          <w:color w:val="auto"/>
          <w:spacing w:val="2"/>
          <w:sz w:val="28"/>
          <w:szCs w:val="28"/>
          <w:u w:val="none"/>
          <w:shd w:fill="auto" w:val="clear"/>
          <w:lang w:val="ru-RU" w:eastAsia="ar-SA"/>
        </w:rPr>
        <w:t>ООО "ИКАНД" (далее-Заявитель)</w:t>
      </w:r>
      <w:r>
        <w:rPr>
          <w:rFonts w:eastAsia="Times-Roman" w:cs="Times-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ar-SA"/>
        </w:rPr>
        <w:t xml:space="preserve"> </w:t>
      </w:r>
      <w:r>
        <w:rPr>
          <w:rFonts w:eastAsia="Times-Roman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ar-SA"/>
        </w:rPr>
        <w:t>на действия Государственного бюджетного учреждения здравоохранения города Москвы "Городская клиническая больница № 31 Департамента здравоохранения города Москвы"(далее — Заказчик) при проведении электронного аукциона на право заключения контракта на оказание услуг по санитарному содержанию прилегающей территории Государственного бюджетного учреждения здравоохранения города Москвы «Городская клиническая больница № 31 Департамента здравоохранения города Москвы» (Закупка №0373200025614000252) (далее-Аукцион)</w:t>
      </w:r>
      <w:r>
        <w:rPr>
          <w:rFonts w:eastAsia="Times New Roman" w:cs="Times New Roman"/>
          <w:sz w:val="28"/>
          <w:szCs w:val="28"/>
          <w:shd w:fill="FFFFFF" w:val="clear"/>
          <w:lang w:eastAsia="ar-SA"/>
        </w:rPr>
        <w:t xml:space="preserve">, </w:t>
      </w:r>
      <w:r>
        <w:rPr>
          <w:rStyle w:val="Style17"/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ar-SA"/>
        </w:rPr>
        <w:t xml:space="preserve">в соответствии со ст.106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</w:t>
      </w:r>
      <w:r>
        <w:rPr>
          <w:rStyle w:val="Style17"/>
          <w:rFonts w:eastAsia="Arial" w:cs="Arial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ar-SA"/>
        </w:rPr>
        <w:t>Административным регламентом, утвержденным</w:t>
      </w:r>
      <w:r>
        <w:rPr>
          <w:rStyle w:val="Style17"/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ar-SA"/>
        </w:rPr>
        <w:t xml:space="preserve"> </w:t>
      </w:r>
      <w:r>
        <w:rPr>
          <w:rStyle w:val="Style17"/>
          <w:rFonts w:eastAsia="Arial" w:cs="Arial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ar-SA"/>
        </w:rPr>
        <w:t>Приказом ФАС России от 24.07.2012 №498,</w:t>
      </w:r>
      <w:r>
        <w:rPr>
          <w:rStyle w:val="Labelnoticename"/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u w:val="none"/>
          <w:shd w:fill="auto" w:val="clear"/>
          <w:lang w:val="ru-RU" w:eastAsia="ar-SA"/>
        </w:rPr>
        <w:t xml:space="preserve"> </w:t>
      </w:r>
      <w:r/>
    </w:p>
    <w:p>
      <w:pPr>
        <w:pStyle w:val="Normal"/>
        <w:widowControl w:val="false"/>
        <w:shd w:fill="FFFFFF" w:val="clear"/>
        <w:tabs>
          <w:tab w:val="left" w:pos="9780" w:leader="none"/>
        </w:tabs>
        <w:suppressAutoHyphens w:val="true"/>
        <w:spacing w:lineRule="auto" w:line="240" w:before="0" w:after="0"/>
        <w:ind w:left="0" w:right="0" w:firstLine="495"/>
        <w:jc w:val="both"/>
        <w:rPr>
          <w:spacing w:val="2"/>
          <w:i w:val="false"/>
          <w:u w:val="none"/>
          <w:b w:val="false"/>
          <w:shd w:fill="auto" w:val="clear"/>
          <w:i w:val="false"/>
          <w:b w:val="false"/>
          <w:iCs w:val="false"/>
          <w:bCs w:val="false"/>
          <w:rFonts w:ascii="Times New Roman" w:hAnsi="Times New Roman" w:eastAsia="Arial" w:cs="Times New Roman"/>
          <w:color w:val="000000"/>
          <w:lang w:val="ru-RU" w:eastAsia="ar-SA"/>
        </w:rPr>
      </w:pPr>
      <w:r>
        <w:rPr>
          <w:sz w:val="28"/>
          <w:szCs w:val="28"/>
          <w:shd w:fill="FFFFFF" w:val="clear"/>
        </w:rPr>
      </w:r>
      <w:r/>
    </w:p>
    <w:p>
      <w:pPr>
        <w:pStyle w:val="Normal"/>
        <w:widowControl w:val="false"/>
        <w:shd w:fill="FFFFFF" w:val="clear"/>
        <w:tabs>
          <w:tab w:val="left" w:pos="9780" w:leader="none"/>
        </w:tabs>
        <w:suppressAutoHyphens w:val="true"/>
        <w:spacing w:lineRule="auto" w:line="240" w:before="0" w:after="0"/>
        <w:ind w:left="15" w:right="0" w:firstLine="600"/>
        <w:jc w:val="center"/>
        <w:rPr>
          <w:sz w:val="28"/>
          <w:b/>
          <w:shd w:fill="FFFFFF" w:val="clear"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fill="FFFFFF" w:val="clear"/>
          <w:lang w:eastAsia="ar-SA"/>
        </w:rPr>
        <w:t>ПРЕДПИСЫВАЕТ:</w:t>
      </w:r>
      <w:r/>
    </w:p>
    <w:p>
      <w:pPr>
        <w:pStyle w:val="Normal"/>
        <w:widowControl w:val="false"/>
        <w:shd w:fill="FFFFFF" w:val="clear"/>
        <w:tabs>
          <w:tab w:val="left" w:pos="9780" w:leader="none"/>
        </w:tabs>
        <w:suppressAutoHyphens w:val="true"/>
        <w:spacing w:lineRule="auto" w:line="240" w:before="0" w:after="0"/>
        <w:ind w:left="15" w:right="0" w:firstLine="600"/>
        <w:jc w:val="center"/>
        <w:rPr>
          <w:sz w:val="28"/>
          <w:b/>
          <w:shd w:fill="FFFFFF" w:val="clear"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shd w:fill="FFFFFF" w:val="clear"/>
          <w:lang w:eastAsia="ar-SA"/>
        </w:rPr>
      </w:r>
      <w:r/>
    </w:p>
    <w:p>
      <w:pPr>
        <w:pStyle w:val="Style21"/>
        <w:numPr>
          <w:ilvl w:val="0"/>
          <w:numId w:val="3"/>
        </w:numPr>
        <w:tabs>
          <w:tab w:val="left" w:pos="1215" w:leader="none"/>
        </w:tabs>
        <w:suppressAutoHyphens w:val="true"/>
        <w:spacing w:lineRule="auto" w:line="240" w:before="0" w:after="0"/>
        <w:ind w:left="0" w:right="0" w:firstLine="870"/>
        <w:jc w:val="both"/>
        <w:rPr>
          <w:sz w:val="28"/>
          <w:shd w:fill="FFFFFF" w:val="clear"/>
          <w:sz w:val="28"/>
          <w:szCs w:val="28"/>
          <w:rFonts w:ascii="Times New Roman" w:hAnsi="Times New Roman" w:eastAsia="Times New Roman" w:cs="Times New Roman"/>
          <w:color w:val="000000"/>
          <w:lang w:eastAsia="ar-SA"/>
        </w:rPr>
      </w:pPr>
      <w:r>
        <w:rPr>
          <w:rFonts w:eastAsia="Times New Roman" w:cs="Times New Roman"/>
          <w:color w:val="000000"/>
          <w:sz w:val="28"/>
          <w:szCs w:val="28"/>
          <w:shd w:fill="FFFFFF" w:val="clear"/>
          <w:lang w:eastAsia="ar-SA"/>
        </w:rPr>
        <w:t>Заказчику, Аукционной комиссии отменить Протокол подведения итогов, Протокол рассмотрения первых частей заявок на участие в Аукционе (далее – Протоколы).</w:t>
      </w:r>
      <w:r/>
    </w:p>
    <w:p>
      <w:pPr>
        <w:pStyle w:val="Style21"/>
        <w:numPr>
          <w:ilvl w:val="0"/>
          <w:numId w:val="3"/>
        </w:numPr>
        <w:tabs>
          <w:tab w:val="left" w:pos="1215" w:leader="none"/>
        </w:tabs>
        <w:suppressAutoHyphens w:val="true"/>
        <w:spacing w:lineRule="auto" w:line="240" w:before="0" w:after="0"/>
        <w:ind w:left="0" w:right="0" w:firstLine="870"/>
        <w:jc w:val="both"/>
      </w:pPr>
      <w:r>
        <w:rPr>
          <w:sz w:val="28"/>
          <w:shd w:fill="FFFFFF" w:val="clear"/>
        </w:rPr>
        <w:t>Оператору электронной площадки не позднее 1 рабочего дня со дня исполнения пункта 1 настоящего предписания:</w:t>
      </w:r>
      <w:r/>
    </w:p>
    <w:p>
      <w:pPr>
        <w:pStyle w:val="Style21"/>
        <w:tabs>
          <w:tab w:val="left" w:pos="1215" w:leader="none"/>
        </w:tabs>
        <w:spacing w:lineRule="auto" w:line="240" w:before="0" w:after="0"/>
        <w:ind w:left="0" w:right="0" w:firstLine="870"/>
        <w:jc w:val="both"/>
      </w:pPr>
      <w:r>
        <w:rPr>
          <w:rFonts w:ascii="Symbol" w:hAnsi="Symbol"/>
          <w:sz w:val="28"/>
          <w:shd w:fill="FFFFFF" w:val="clear"/>
        </w:rPr>
        <w:t>-</w:t>
      </w:r>
      <w:r>
        <w:rPr>
          <w:rFonts w:ascii="Symbol" w:hAnsi="Symbol"/>
          <w:caps w:val="false"/>
          <w:smallCaps w:val="false"/>
          <w:sz w:val="28"/>
          <w:shd w:fill="FFFFFF" w:val="clear"/>
        </w:rPr>
        <w:t xml:space="preserve"> </w:t>
      </w:r>
      <w:r>
        <w:rPr>
          <w:sz w:val="28"/>
          <w:shd w:fill="FFFFFF" w:val="clear"/>
        </w:rPr>
        <w:t xml:space="preserve">отменить </w:t>
      </w:r>
      <w:r>
        <w:rPr>
          <w:strike w:val="false"/>
          <w:dstrike w:val="false"/>
          <w:sz w:val="28"/>
          <w:u w:val="none"/>
          <w:effect w:val="none"/>
          <w:shd w:fill="FFFFFF" w:val="clear"/>
          <w:lang w:val="ru-RU"/>
        </w:rPr>
        <w:t>протокол проведения Аукциона</w:t>
      </w:r>
      <w:r>
        <w:rPr>
          <w:sz w:val="28"/>
          <w:shd w:fill="FFFFFF" w:val="clear"/>
        </w:rPr>
        <w:t>;</w:t>
      </w:r>
      <w:r/>
    </w:p>
    <w:p>
      <w:pPr>
        <w:pStyle w:val="Style21"/>
        <w:tabs>
          <w:tab w:val="left" w:pos="1215" w:leader="none"/>
        </w:tabs>
        <w:spacing w:lineRule="auto" w:line="240" w:before="0" w:after="0"/>
        <w:ind w:left="0" w:right="0" w:firstLine="870"/>
        <w:jc w:val="both"/>
      </w:pPr>
      <w:r>
        <w:rPr>
          <w:rFonts w:ascii="Symbol" w:hAnsi="Symbol"/>
          <w:sz w:val="28"/>
          <w:shd w:fill="FFFFFF" w:val="clear"/>
        </w:rPr>
        <w:t>-</w:t>
      </w:r>
      <w:r>
        <w:rPr>
          <w:rFonts w:ascii="Symbol" w:hAnsi="Symbol"/>
          <w:caps w:val="false"/>
          <w:smallCaps w:val="false"/>
          <w:sz w:val="28"/>
          <w:shd w:fill="FFFFFF" w:val="clear"/>
        </w:rPr>
        <w:t xml:space="preserve"> </w:t>
      </w:r>
      <w:r>
        <w:rPr>
          <w:sz w:val="28"/>
          <w:shd w:fill="FFFFFF" w:val="clear"/>
        </w:rPr>
        <w:t>вернуть участникам закупки ранее поданные заявки на участие в Аукционе;</w:t>
      </w:r>
      <w:r/>
    </w:p>
    <w:p>
      <w:pPr>
        <w:pStyle w:val="Style21"/>
        <w:tabs>
          <w:tab w:val="left" w:pos="1215" w:leader="none"/>
        </w:tabs>
        <w:spacing w:lineRule="auto" w:line="240" w:before="0" w:after="0"/>
        <w:ind w:left="0" w:right="0" w:firstLine="870"/>
        <w:jc w:val="both"/>
      </w:pPr>
      <w:r>
        <w:rPr>
          <w:rFonts w:ascii="Symbol" w:hAnsi="Symbol"/>
          <w:sz w:val="28"/>
          <w:shd w:fill="FFFFFF" w:val="clear"/>
        </w:rPr>
        <w:t>-</w:t>
      </w:r>
      <w:r>
        <w:rPr>
          <w:rFonts w:ascii="Symbol" w:hAnsi="Symbol"/>
          <w:caps w:val="false"/>
          <w:smallCaps w:val="false"/>
          <w:sz w:val="28"/>
          <w:shd w:fill="FFFFFF" w:val="clear"/>
        </w:rPr>
        <w:t xml:space="preserve"> </w:t>
      </w:r>
      <w:r>
        <w:rPr>
          <w:sz w:val="28"/>
          <w:shd w:fill="FFFFFF" w:val="clear"/>
        </w:rPr>
        <w:t>уведомить участников закупки, подавших заявки на участие в Аукционе, в том числе Заявителя, об отмене Протоколов, Протокола проведения Аукциона, о прекращении действия заявок, поданных на участие в Аукционе, и о возможности подать новые заявки на участие в Аукционе;</w:t>
      </w:r>
      <w:r/>
    </w:p>
    <w:p>
      <w:pPr>
        <w:pStyle w:val="Style21"/>
        <w:tabs>
          <w:tab w:val="left" w:pos="1215" w:leader="none"/>
        </w:tabs>
        <w:spacing w:lineRule="auto" w:line="240" w:before="0" w:after="0"/>
        <w:ind w:left="0" w:right="0" w:firstLine="870"/>
        <w:jc w:val="both"/>
      </w:pPr>
      <w:r>
        <w:rPr>
          <w:rFonts w:ascii="Symbol" w:hAnsi="Symbol"/>
          <w:sz w:val="28"/>
          <w:shd w:fill="FFFFFF" w:val="clear"/>
        </w:rPr>
        <w:t>-</w:t>
      </w:r>
      <w:r>
        <w:rPr>
          <w:rFonts w:ascii="Symbol" w:hAnsi="Symbol"/>
          <w:caps w:val="false"/>
          <w:smallCaps w:val="false"/>
          <w:sz w:val="28"/>
          <w:shd w:fill="FFFFFF" w:val="clear"/>
        </w:rPr>
        <w:t xml:space="preserve"> </w:t>
      </w:r>
      <w:r>
        <w:rPr>
          <w:sz w:val="28"/>
          <w:shd w:fill="FFFFFF" w:val="clear"/>
        </w:rPr>
        <w:t>прекратить блокирование операций по счетам для проведения операций по обеспечению участия в аукционах в электронной форме, открытых участникам закупки, подавшим заявки на участие в Аукционе, в отношении денежных средств в размере обеспечения заявки на участие в Аукционе.</w:t>
      </w:r>
      <w:r/>
    </w:p>
    <w:p>
      <w:pPr>
        <w:pStyle w:val="Style21"/>
        <w:tabs>
          <w:tab w:val="left" w:pos="1215" w:leader="none"/>
        </w:tabs>
        <w:spacing w:lineRule="auto" w:line="240" w:before="0" w:after="0"/>
        <w:ind w:left="0" w:right="0" w:firstLine="870"/>
      </w:pPr>
      <w:r>
        <w:rPr>
          <w:sz w:val="28"/>
          <w:shd w:fill="FFFFFF" w:val="clear"/>
        </w:rPr>
        <w:t>3.</w:t>
      </w:r>
      <w:r>
        <w:rPr>
          <w:caps w:val="false"/>
          <w:smallCaps w:val="false"/>
          <w:sz w:val="28"/>
          <w:shd w:fill="FFFFFF" w:val="clear"/>
        </w:rPr>
        <w:t xml:space="preserve"> </w:t>
      </w:r>
      <w:r>
        <w:rPr>
          <w:sz w:val="28"/>
          <w:shd w:fill="FFFFFF" w:val="clear"/>
        </w:rPr>
        <w:t>Заказчику:</w:t>
      </w:r>
      <w:r/>
    </w:p>
    <w:p>
      <w:pPr>
        <w:pStyle w:val="Style21"/>
        <w:tabs>
          <w:tab w:val="left" w:pos="1215" w:leader="none"/>
        </w:tabs>
        <w:spacing w:lineRule="auto" w:line="240" w:before="0" w:after="0"/>
        <w:ind w:left="0" w:right="0" w:firstLine="870"/>
        <w:jc w:val="both"/>
      </w:pPr>
      <w:r>
        <w:rPr>
          <w:rFonts w:ascii="Symbol" w:hAnsi="Symbol"/>
          <w:sz w:val="28"/>
          <w:shd w:fill="FFFFFF" w:val="clear"/>
        </w:rPr>
        <w:t>-</w:t>
      </w:r>
      <w:r>
        <w:rPr>
          <w:rFonts w:ascii="Symbol" w:hAnsi="Symbol"/>
          <w:caps w:val="false"/>
          <w:smallCaps w:val="false"/>
          <w:sz w:val="28"/>
          <w:shd w:fill="FFFFFF" w:val="clear"/>
        </w:rPr>
        <w:t xml:space="preserve"> </w:t>
      </w:r>
      <w:r>
        <w:rPr>
          <w:sz w:val="28"/>
          <w:shd w:fill="FFFFFF" w:val="clear"/>
        </w:rPr>
        <w:t xml:space="preserve">привести документацию об Аукционе в соответствие с требованиями </w:t>
      </w:r>
      <w:r>
        <w:rPr>
          <w:rFonts w:eastAsia="Arial" w:cs="Times New Roman"/>
          <w:b w:val="false"/>
          <w:bCs w:val="false"/>
          <w:i w:val="false"/>
          <w:iCs w:val="false"/>
          <w:color w:val="000000"/>
          <w:spacing w:val="2"/>
          <w:sz w:val="28"/>
          <w:szCs w:val="28"/>
          <w:shd w:fill="FFFFFF" w:val="clear"/>
          <w:lang w:val="ru-RU" w:eastAsia="ru-RU"/>
        </w:rPr>
        <w:t>Закона о конкратной системе</w:t>
      </w:r>
      <w:r>
        <w:rPr>
          <w:sz w:val="28"/>
          <w:shd w:fill="FFFFFF" w:val="clear"/>
        </w:rPr>
        <w:t xml:space="preserve"> и с учетом решения от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FFFFFF" w:val="clear"/>
          <w:lang w:eastAsia="ar-SA"/>
        </w:rPr>
        <w:t>20.10.2014 по делу №2-57-7685/77-14</w:t>
      </w:r>
      <w:r>
        <w:rPr>
          <w:rFonts w:eastAsia="Times New Roman" w:cs="Times New Roman"/>
          <w:color w:val="000000"/>
          <w:sz w:val="28"/>
          <w:szCs w:val="28"/>
          <w:shd w:fill="FFFFFF" w:val="clear"/>
          <w:lang w:eastAsia="ar-SA"/>
        </w:rPr>
        <w:t xml:space="preserve"> </w:t>
      </w:r>
      <w:r>
        <w:rPr>
          <w:sz w:val="28"/>
          <w:shd w:fill="FFFFFF" w:val="clear"/>
        </w:rPr>
        <w:t>и разместить соответствующую документацию на Официальном сайте;</w:t>
      </w:r>
      <w:r/>
    </w:p>
    <w:p>
      <w:pPr>
        <w:pStyle w:val="Style21"/>
        <w:tabs>
          <w:tab w:val="left" w:pos="1215" w:leader="none"/>
        </w:tabs>
        <w:spacing w:lineRule="auto" w:line="240" w:before="0" w:after="0"/>
        <w:ind w:left="0" w:right="0" w:firstLine="870"/>
        <w:jc w:val="both"/>
      </w:pPr>
      <w:r>
        <w:rPr>
          <w:rFonts w:ascii="Symbol" w:hAnsi="Symbol"/>
          <w:sz w:val="28"/>
          <w:shd w:fill="FFFFFF" w:val="clear"/>
        </w:rPr>
        <w:t>-</w:t>
      </w:r>
      <w:r>
        <w:rPr>
          <w:rFonts w:ascii="Symbol" w:hAnsi="Symbol"/>
          <w:caps w:val="false"/>
          <w:smallCaps w:val="false"/>
          <w:sz w:val="28"/>
          <w:shd w:fill="FFFFFF" w:val="clear"/>
        </w:rPr>
        <w:t xml:space="preserve"> </w:t>
      </w:r>
      <w:r>
        <w:rPr>
          <w:sz w:val="28"/>
          <w:shd w:fill="FFFFFF" w:val="clear"/>
        </w:rPr>
        <w:t xml:space="preserve">назначить новую дату окончания срока подачи заявок на участие в Аукционе, дату рассмотрения первых частей заявок на участие в Аукционе, дату проведения Аукциона, а также разместить на Официальном сайте информацию о новой дате окончания срока подачи заявок на участие в Аукционе, дате рассмотрения первых частей заявок на участие в Аукционе и дате проведения Аукциона. При этом дата окончания срока подачи заявок на участие в Аукционе должна быть назначена в соответствии с ч.6 ст.65  </w:t>
      </w:r>
      <w:r>
        <w:rPr>
          <w:rStyle w:val="Tendersubject1"/>
          <w:rFonts w:eastAsia="Arial CYR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2"/>
          <w:position w:val="0"/>
          <w:sz w:val="20"/>
          <w:sz w:val="28"/>
          <w:szCs w:val="28"/>
          <w:u w:val="none"/>
          <w:shd w:fill="auto" w:val="clear"/>
          <w:vertAlign w:val="baseline"/>
          <w:em w:val="none"/>
          <w:lang w:val="ru-RU" w:eastAsia="ru-RU" w:bidi="en-US"/>
        </w:rPr>
        <w:t>Закона о контрактной системе.</w:t>
      </w:r>
      <w:r/>
    </w:p>
    <w:p>
      <w:pPr>
        <w:pStyle w:val="Style21"/>
        <w:tabs>
          <w:tab w:val="left" w:pos="1215" w:leader="none"/>
        </w:tabs>
        <w:spacing w:lineRule="auto" w:line="240" w:before="0" w:after="0"/>
        <w:ind w:left="0" w:right="0" w:firstLine="870"/>
      </w:pPr>
      <w:r>
        <w:rPr>
          <w:sz w:val="28"/>
          <w:shd w:fill="FFFFFF" w:val="clear"/>
        </w:rPr>
        <w:t>4.</w:t>
      </w:r>
      <w:r>
        <w:rPr>
          <w:caps w:val="false"/>
          <w:smallCaps w:val="false"/>
          <w:sz w:val="28"/>
          <w:shd w:fill="FFFFFF" w:val="clear"/>
        </w:rPr>
        <w:t xml:space="preserve"> </w:t>
      </w:r>
      <w:r>
        <w:rPr>
          <w:sz w:val="28"/>
          <w:shd w:fill="FFFFFF" w:val="clear"/>
        </w:rPr>
        <w:t>Оператору электронной площадки не позднее 1 рабочего дня со дня исполнения пункта 3 настоящего предписания:</w:t>
      </w:r>
      <w:r/>
    </w:p>
    <w:p>
      <w:pPr>
        <w:pStyle w:val="Style21"/>
        <w:tabs>
          <w:tab w:val="left" w:pos="1215" w:leader="none"/>
        </w:tabs>
        <w:spacing w:lineRule="auto" w:line="240" w:before="0" w:after="0"/>
        <w:ind w:left="0" w:right="0" w:firstLine="870"/>
        <w:jc w:val="both"/>
      </w:pPr>
      <w:r>
        <w:rPr>
          <w:rFonts w:ascii="Symbol" w:hAnsi="Symbol"/>
          <w:sz w:val="28"/>
          <w:shd w:fill="FFFFFF" w:val="clear"/>
        </w:rPr>
        <w:t>-</w:t>
      </w:r>
      <w:r>
        <w:rPr>
          <w:rFonts w:ascii="Symbol" w:hAnsi="Symbol"/>
          <w:caps w:val="false"/>
          <w:smallCaps w:val="false"/>
          <w:sz w:val="28"/>
          <w:shd w:fill="FFFFFF" w:val="clear"/>
        </w:rPr>
        <w:t xml:space="preserve"> </w:t>
      </w:r>
      <w:r>
        <w:rPr>
          <w:sz w:val="28"/>
          <w:shd w:fill="FFFFFF" w:val="clear"/>
        </w:rPr>
        <w:t xml:space="preserve">назначить время проведения Аукциона и разместить на электронной площадке информацию о времени проведения Аукциона; </w:t>
      </w:r>
      <w:r/>
    </w:p>
    <w:p>
      <w:pPr>
        <w:pStyle w:val="Style21"/>
        <w:numPr>
          <w:ilvl w:val="0"/>
          <w:numId w:val="4"/>
        </w:numPr>
        <w:tabs>
          <w:tab w:val="left" w:pos="1215" w:leader="none"/>
        </w:tabs>
        <w:spacing w:lineRule="auto" w:line="240" w:before="0" w:after="0"/>
        <w:ind w:left="0" w:right="0" w:firstLine="870"/>
        <w:jc w:val="both"/>
        <w:rPr>
          <w:sz w:val="28"/>
          <w:shd w:fill="FFFFFF" w:val="clear"/>
          <w:color w:val="auto"/>
        </w:rPr>
      </w:pPr>
      <w:r>
        <w:rPr>
          <w:sz w:val="28"/>
          <w:shd w:fill="FFFFFF" w:val="clear"/>
        </w:rPr>
        <w:t>уведомить участников закупки, подавших заявки на участие в Аукционе, в том числе Заявителя, о новой дате окончания срока подачи заявок на участие в Аукционе, дате рассмотрения первых частей заявок на участие в Аукционе, дате и времени проведения Аукциона, а также о возможности подать новые заявки на участие в Аукционе.</w:t>
      </w:r>
      <w:r/>
    </w:p>
    <w:p>
      <w:pPr>
        <w:pStyle w:val="Style21"/>
        <w:numPr>
          <w:ilvl w:val="1"/>
          <w:numId w:val="5"/>
        </w:numPr>
        <w:tabs>
          <w:tab w:val="left" w:pos="1215" w:leader="none"/>
        </w:tabs>
        <w:spacing w:lineRule="auto" w:line="240" w:before="0" w:after="0"/>
        <w:ind w:left="0" w:right="0" w:firstLine="870"/>
        <w:jc w:val="both"/>
      </w:pPr>
      <w:r>
        <w:rPr>
          <w:rFonts w:eastAsia="Times New Roman" w:cs="Times New Roman"/>
          <w:sz w:val="28"/>
          <w:szCs w:val="28"/>
          <w:shd w:fill="FFFFFF" w:val="clear"/>
          <w:lang w:eastAsia="ar-SA"/>
        </w:rPr>
        <w:t>Заказчик</w:t>
      </w:r>
      <w:bookmarkStart w:id="0" w:name="_GoBack"/>
      <w:bookmarkEnd w:id="0"/>
      <w:r>
        <w:rPr>
          <w:rFonts w:eastAsia="Times New Roman" w:cs="Times New Roman"/>
          <w:sz w:val="28"/>
          <w:szCs w:val="28"/>
          <w:shd w:fill="FFFFFF" w:val="clear"/>
          <w:lang w:eastAsia="ar-SA"/>
        </w:rPr>
        <w:t xml:space="preserve">у, Аукционной комиссии, Оператору электронной площадки осуществить дальнейшее проведение процедуры закупки в соответствии с требованиями законодательства </w:t>
      </w:r>
      <w:r>
        <w:rPr>
          <w:rStyle w:val="Tendersubject1"/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-1"/>
          <w:position w:val="0"/>
          <w:sz w:val="20"/>
          <w:sz w:val="28"/>
          <w:szCs w:val="28"/>
          <w:u w:val="none"/>
          <w:shd w:fill="FFFFFF" w:val="clear"/>
          <w:vertAlign w:val="baseline"/>
          <w:em w:val="none"/>
          <w:lang w:val="ru-RU" w:eastAsia="ru-RU" w:bidi="en-US"/>
        </w:rPr>
        <w:t>об осуществлении закупок</w:t>
      </w:r>
      <w:r>
        <w:rPr>
          <w:rFonts w:eastAsia="Times New Roman" w:cs="Times New Roman"/>
          <w:sz w:val="28"/>
          <w:szCs w:val="28"/>
          <w:shd w:fill="FFFFFF" w:val="clear"/>
          <w:lang w:eastAsia="ar-SA"/>
        </w:rPr>
        <w:t xml:space="preserve"> и с учетом решения Московского УФАС России от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FFFFFF" w:val="clear"/>
          <w:lang w:eastAsia="ar-SA"/>
        </w:rPr>
        <w:t>20.10.2014 по делу №2-57-7685/77-14</w:t>
      </w:r>
      <w:r>
        <w:rPr>
          <w:rFonts w:eastAsia="Times New Roman" w:cs="Times New Roman"/>
          <w:color w:val="000000"/>
          <w:sz w:val="28"/>
          <w:szCs w:val="28"/>
          <w:shd w:fill="FFFFFF" w:val="clear"/>
          <w:lang w:eastAsia="ar-SA"/>
        </w:rPr>
        <w:t>.</w:t>
      </w:r>
      <w:r/>
    </w:p>
    <w:p>
      <w:pPr>
        <w:pStyle w:val="Style21"/>
        <w:numPr>
          <w:ilvl w:val="1"/>
          <w:numId w:val="5"/>
        </w:numPr>
        <w:tabs>
          <w:tab w:val="left" w:pos="1215" w:leader="none"/>
        </w:tabs>
        <w:spacing w:lineRule="auto" w:line="240" w:before="0" w:after="0"/>
        <w:ind w:left="0" w:right="0" w:firstLine="870"/>
        <w:jc w:val="both"/>
      </w:pPr>
      <w:r>
        <w:rPr>
          <w:rFonts w:eastAsia="Times New Roman" w:cs="Times New Roman"/>
          <w:sz w:val="28"/>
          <w:szCs w:val="28"/>
          <w:shd w:fill="FFFFFF" w:val="clear"/>
          <w:lang w:eastAsia="ar-SA"/>
        </w:rPr>
        <w:t xml:space="preserve">Заказчику, Аукционной комиссии, Оператору электронной площадки в срок </w:t>
      </w:r>
      <w:r>
        <w:rPr>
          <w:color w:val="000000"/>
          <w:sz w:val="28"/>
          <w:szCs w:val="28"/>
          <w:shd w:fill="FFFFFF" w:val="clear"/>
        </w:rPr>
        <w:t xml:space="preserve">до 15.12.2014 представить в Московское УФАС России подтверждение исполнения настоящего предписания в письменном виде, а также по факсимильной связи </w:t>
      </w:r>
      <w:r>
        <w:rPr>
          <w:color w:val="000000"/>
          <w:sz w:val="28"/>
          <w:szCs w:val="28"/>
          <w:shd w:fill="FFFFFF" w:val="clear"/>
        </w:rPr>
        <w:t>(8(495) 607-42-92</w:t>
      </w:r>
      <w:r>
        <w:rPr>
          <w:color w:val="000000"/>
          <w:sz w:val="28"/>
          <w:szCs w:val="28"/>
          <w:shd w:fill="FFFFFF" w:val="clear"/>
        </w:rPr>
        <w:t xml:space="preserve">) или электронной почте по адресу: </w:t>
      </w:r>
      <w:hyperlink r:id="rId2">
        <w:r>
          <w:rPr>
            <w:rStyle w:val="Style14"/>
            <w:sz w:val="28"/>
            <w:szCs w:val="28"/>
            <w:shd w:fill="FFFFFF" w:val="clear"/>
          </w:rPr>
          <w:t>to77@fas.gov.ru</w:t>
        </w:r>
      </w:hyperlink>
      <w:r>
        <w:rPr>
          <w:color w:val="000000"/>
          <w:sz w:val="28"/>
          <w:szCs w:val="28"/>
          <w:shd w:fill="FFFFFF" w:val="clear"/>
        </w:rPr>
        <w:t>.</w:t>
      </w:r>
      <w:r/>
    </w:p>
    <w:p>
      <w:pPr>
        <w:pStyle w:val="Style21"/>
        <w:tabs>
          <w:tab w:val="left" w:pos="1215" w:leader="none"/>
        </w:tabs>
        <w:spacing w:lineRule="auto" w:line="240" w:before="0" w:after="0"/>
        <w:ind w:left="0" w:right="0" w:firstLine="870"/>
        <w:jc w:val="both"/>
        <w:rPr>
          <w:sz w:val="28"/>
          <w:shd w:fill="FFFFFF" w:val="clear"/>
          <w:sz w:val="28"/>
          <w:szCs w:val="28"/>
          <w:color w:val="000000"/>
        </w:rPr>
      </w:pPr>
      <w:r>
        <w:rPr>
          <w:color w:val="000000"/>
          <w:sz w:val="28"/>
          <w:szCs w:val="28"/>
          <w:shd w:fill="FFFFFF" w:val="clear"/>
        </w:rPr>
      </w:r>
      <w:r/>
    </w:p>
    <w:p>
      <w:pPr>
        <w:pStyle w:val="ConsPlusDocList"/>
        <w:tabs>
          <w:tab w:val="left" w:pos="1215" w:leader="none"/>
        </w:tabs>
        <w:spacing w:lineRule="auto" w:line="240" w:before="0" w:after="0"/>
        <w:ind w:left="0" w:right="0" w:firstLine="870"/>
        <w:jc w:val="both"/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FFFFFF" w:val="clear"/>
          <w:vertAlign w:val="baseline"/>
        </w:rPr>
        <w:t xml:space="preserve">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закупок, за исключением органа, указанного в ч. 7.1 ст. 19.5  Кодекса Российской Федерации об административных правонарушениях влечет наложение административного штрафа на должностных лиц в размере пятидесяти тысяч рублей; на юридических лиц - пятисот тысяч рублей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в соответствии с п.7 ст.19.5 Кодекса Российской Федерации об административных правонарушениях.</w:t>
      </w:r>
      <w:r/>
    </w:p>
    <w:p>
      <w:pPr>
        <w:pStyle w:val="Style21"/>
        <w:tabs>
          <w:tab w:val="left" w:pos="1215" w:leader="none"/>
        </w:tabs>
        <w:spacing w:lineRule="auto" w:line="240" w:before="0" w:after="0"/>
        <w:ind w:left="0" w:right="0" w:firstLine="870"/>
        <w:jc w:val="both"/>
        <w:rPr>
          <w:sz w:val="28"/>
          <w:shd w:fill="FFFFFF" w:val="clear"/>
          <w:sz w:val="28"/>
          <w:szCs w:val="28"/>
          <w:color w:val="000000"/>
        </w:rPr>
      </w:pPr>
      <w:r>
        <w:rPr>
          <w:color w:val="000000"/>
          <w:sz w:val="28"/>
          <w:szCs w:val="28"/>
          <w:shd w:fill="FFFFFF" w:val="clear"/>
        </w:rPr>
        <w:t>Настоящее предписание может быть обжаловано в суд (арбитражный суд) в соответствии с законодательством Российской Федерации.</w:t>
      </w:r>
      <w:r/>
    </w:p>
    <w:p>
      <w:pPr>
        <w:pStyle w:val="Style21"/>
        <w:spacing w:lineRule="auto" w:line="240"/>
        <w:ind w:left="0" w:right="0" w:hanging="0"/>
        <w:jc w:val="both"/>
        <w:rPr>
          <w:shd w:fill="FFFFFF" w:val="clear"/>
          <w:color w:val="auto"/>
        </w:rPr>
      </w:pPr>
      <w:r>
        <w:rPr>
          <w:shd w:fill="FFFFFF" w:val="clear"/>
        </w:rPr>
      </w:r>
      <w:r/>
    </w:p>
    <w:p>
      <w:pPr>
        <w:pStyle w:val="Normal"/>
        <w:shd w:fill="FFFFFF" w:val="clear"/>
        <w:spacing w:lineRule="auto" w:line="240"/>
        <w:jc w:val="both"/>
      </w:pPr>
      <w:r>
        <w:rPr>
          <w:rStyle w:val="Tendersubject1"/>
          <w:rFonts w:eastAsia="Arial CYR" w:cs="Times New Roman"/>
          <w:b w:val="false"/>
          <w:bCs/>
          <w:i w:val="false"/>
          <w:iCs w:val="false"/>
          <w:color w:val="auto"/>
          <w:spacing w:val="-1"/>
          <w:sz w:val="28"/>
          <w:szCs w:val="28"/>
          <w:u w:val="none"/>
          <w:shd w:fill="auto" w:val="clear"/>
          <w:lang w:val="ru-RU"/>
        </w:rPr>
        <w:t>Председатель Комиссии                                                                       Е.А. Исаева</w:t>
      </w:r>
      <w:r/>
    </w:p>
    <w:p>
      <w:pPr>
        <w:pStyle w:val="Normal"/>
        <w:shd w:fill="FFFFFF" w:val="clear"/>
        <w:spacing w:lineRule="auto" w:line="240"/>
        <w:jc w:val="both"/>
        <w:rPr>
          <w:color w:val="auto"/>
        </w:rPr>
      </w:pPr>
      <w:r>
        <w:rPr/>
      </w:r>
      <w:r/>
    </w:p>
    <w:p>
      <w:pPr>
        <w:pStyle w:val="Normal"/>
        <w:shd w:fill="FFFFFF" w:val="clear"/>
        <w:spacing w:lineRule="auto" w:line="240"/>
        <w:jc w:val="both"/>
      </w:pP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ru-RU" w:eastAsia="en-US"/>
        </w:rPr>
        <w:t>Заместитель Председателя Комиссии                                              Т.А. Логинова</w:t>
      </w:r>
      <w:r/>
    </w:p>
    <w:p>
      <w:pPr>
        <w:pStyle w:val="Normal"/>
        <w:shd w:fill="FFFFFF" w:val="clear"/>
        <w:spacing w:lineRule="auto" w:line="240"/>
        <w:jc w:val="both"/>
        <w:rPr>
          <w:smallCaps w:val="false"/>
          <w:caps w:val="false"/>
          <w:sz w:val="28"/>
          <w:spacing w:val="1"/>
          <w:i w:val="false"/>
          <w:u w:val="none"/>
          <w:b w:val="false"/>
          <w:shd w:fill="auto" w:val="clear"/>
          <w:sz w:val="28"/>
          <w:i w:val="false"/>
          <w:b w:val="false"/>
          <w:szCs w:val="28"/>
          <w:iCs w:val="false"/>
          <w:bCs w:val="false"/>
          <w:rFonts w:eastAsia="Arial" w:cs="Times New Roman"/>
          <w:color w:val="000000"/>
          <w:lang w:val="ru-RU" w:eastAsia="en-US"/>
        </w:rPr>
      </w:pPr>
      <w:r>
        <w:rPr/>
      </w:r>
      <w:r/>
    </w:p>
    <w:p>
      <w:pPr>
        <w:pStyle w:val="Normal"/>
        <w:shd w:fill="FFFFFF" w:val="clear"/>
        <w:spacing w:lineRule="auto" w:line="240"/>
        <w:jc w:val="both"/>
      </w:pP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ru-RU" w:eastAsia="en-US"/>
        </w:rPr>
        <w:t>Член комиссии                                                                                    Р.Г. Осипов</w:t>
      </w:r>
      <w:r/>
    </w:p>
    <w:p>
      <w:pPr>
        <w:pStyle w:val="Normal"/>
        <w:shd w:fill="FFFFFF" w:val="clear"/>
        <w:spacing w:lineRule="auto" w:line="240"/>
        <w:jc w:val="both"/>
        <w:rPr>
          <w:sz w:val="28"/>
          <w:sz w:val="28"/>
          <w:szCs w:val="28"/>
          <w:color w:val="000000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</w:t>
      </w:r>
      <w:r>
        <w:rPr>
          <w:color w:val="000000"/>
          <w:sz w:val="28"/>
          <w:szCs w:val="28"/>
          <w:lang w:val="ru-RU"/>
        </w:rPr>
        <w:tab/>
        <w:tab/>
        <w:t xml:space="preserve">                                                     </w:t>
      </w:r>
      <w:r/>
    </w:p>
    <w:p>
      <w:pPr>
        <w:pStyle w:val="Normal"/>
        <w:shd w:fill="FFFFFF" w:val="clear"/>
        <w:spacing w:lineRule="auto" w:line="240"/>
        <w:jc w:val="both"/>
      </w:pPr>
      <w:r>
        <w:rPr>
          <w:rStyle w:val="Tendersubject1"/>
          <w:rFonts w:eastAsia="Arial CYR" w:cs="Times New Roman"/>
          <w:b w:val="false"/>
          <w:bCs/>
          <w:i w:val="false"/>
          <w:iCs w:val="false"/>
          <w:color w:val="000000"/>
          <w:spacing w:val="-1"/>
          <w:sz w:val="28"/>
          <w:szCs w:val="28"/>
          <w:u w:val="none"/>
          <w:shd w:fill="auto" w:val="clear"/>
          <w:lang w:val="ru-RU"/>
        </w:rPr>
        <w:t xml:space="preserve">                                                                                                            </w:t>
      </w:r>
      <w:r>
        <w:rPr>
          <w:rStyle w:val="Tendersubject1"/>
          <w:rFonts w:eastAsia="Arial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ru-RU" w:eastAsia="en-US"/>
        </w:rPr>
        <w:t xml:space="preserve"> </w:t>
      </w:r>
      <w:r/>
    </w:p>
    <w:p>
      <w:pPr>
        <w:pStyle w:val="Normal"/>
        <w:shd w:fill="FFFFFF" w:val="clear"/>
        <w:spacing w:lineRule="auto" w:line="240"/>
        <w:jc w:val="both"/>
        <w:rPr>
          <w:color w:val="auto"/>
        </w:rPr>
      </w:pPr>
      <w:r>
        <w:rPr/>
      </w:r>
      <w:r/>
    </w:p>
    <w:p>
      <w:pPr>
        <w:pStyle w:val="Normal"/>
        <w:shd w:fill="FFFFFF" w:val="clear"/>
        <w:spacing w:lineRule="auto" w:line="240"/>
        <w:jc w:val="both"/>
        <w:rPr>
          <w:color w:val="auto"/>
        </w:rPr>
      </w:pPr>
      <w:r>
        <w:rPr/>
      </w:r>
      <w:r/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smallCaps w:val="false"/>
          <w:caps w:val="false"/>
          <w:outline w:val="false"/>
          <w:dstrike w:val="false"/>
          <w:strike w:val="false"/>
          <w:sz w:val="18"/>
          <w:spacing w:val="1"/>
          <w:i w:val="false"/>
          <w:shadow w:val="false"/>
          <w:u w:val="none"/>
          <w:b w:val="false"/>
          <w:shd w:fill="auto" w:val="clear"/>
          <w:sz w:val="18"/>
          <w:i w:val="false"/>
          <w:b w:val="false"/>
          <w:szCs w:val="18"/>
          <w:iCs w:val="false"/>
          <w:bCs/>
          <w:em w:val="none"/>
          <w:rFonts w:ascii="Times New Roman" w:hAnsi="Times New Roman" w:eastAsia="Arial CYR" w:cs="Times New Roman"/>
          <w:color w:val="000000"/>
          <w:lang w:val="ru-RU" w:eastAsia="en-US" w:bidi="en-US"/>
        </w:rPr>
      </w:pPr>
      <w:r>
        <w:rPr/>
      </w:r>
      <w:r/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smallCaps w:val="false"/>
          <w:caps w:val="false"/>
          <w:outline w:val="false"/>
          <w:dstrike w:val="false"/>
          <w:strike w:val="false"/>
          <w:sz w:val="18"/>
          <w:spacing w:val="1"/>
          <w:i w:val="false"/>
          <w:shadow w:val="false"/>
          <w:u w:val="none"/>
          <w:b w:val="false"/>
          <w:shd w:fill="auto" w:val="clear"/>
          <w:sz w:val="18"/>
          <w:i w:val="false"/>
          <w:b w:val="false"/>
          <w:szCs w:val="18"/>
          <w:iCs w:val="false"/>
          <w:bCs/>
          <w:em w:val="none"/>
          <w:rFonts w:ascii="Times New Roman" w:hAnsi="Times New Roman" w:eastAsia="Arial CYR" w:cs="Times New Roman"/>
          <w:color w:val="000000"/>
          <w:lang w:val="ru-RU" w:eastAsia="en-US" w:bidi="en-US"/>
        </w:rPr>
      </w:pPr>
      <w:r>
        <w:rPr/>
      </w:r>
      <w:r/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8"/>
          <w:sz w:val="18"/>
          <w:spacing w:val="1"/>
          <w:i w:val="false"/>
          <w:shadow w:val="false"/>
          <w:u w:val="none"/>
          <w:b w:val="false"/>
          <w:shd w:fill="auto" w:val="clear"/>
          <w:sz w:val="18"/>
          <w:i w:val="false"/>
          <w:b w:val="false"/>
          <w:szCs w:val="18"/>
          <w:iCs w:val="false"/>
          <w:bCs/>
          <w:em w:val="none"/>
          <w:rFonts w:ascii="Times New Roman" w:hAnsi="Times New Roman" w:eastAsia="Arial CYR" w:cs="Times New Roman"/>
          <w:color w:val="000000"/>
          <w:lang w:val="ru-RU" w:eastAsia="en-US" w:bidi="en-US"/>
        </w:rPr>
      </w:pPr>
      <w:r>
        <w:rPr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8"/>
          <w:sz w:val="18"/>
          <w:spacing w:val="1"/>
          <w:i w:val="false"/>
          <w:shadow w:val="false"/>
          <w:u w:val="none"/>
          <w:b w:val="false"/>
          <w:shd w:fill="auto" w:val="clear"/>
          <w:sz w:val="18"/>
          <w:i w:val="false"/>
          <w:b w:val="false"/>
          <w:szCs w:val="18"/>
          <w:iCs w:val="false"/>
          <w:bCs/>
          <w:em w:val="none"/>
          <w:rFonts w:ascii="Times New Roman" w:hAnsi="Times New Roman" w:eastAsia="Arial CYR" w:cs="Times New Roman"/>
          <w:color w:val="000000"/>
          <w:lang w:val="ru-RU" w:eastAsia="en-US" w:bidi="en-US"/>
        </w:rPr>
      </w:pPr>
      <w:r>
        <w:rPr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8"/>
          <w:sz w:val="18"/>
          <w:spacing w:val="1"/>
          <w:i w:val="false"/>
          <w:shadow w:val="false"/>
          <w:u w:val="none"/>
          <w:b w:val="false"/>
          <w:shd w:fill="auto" w:val="clear"/>
          <w:sz w:val="18"/>
          <w:i w:val="false"/>
          <w:b w:val="false"/>
          <w:szCs w:val="18"/>
          <w:iCs w:val="false"/>
          <w:bCs/>
          <w:em w:val="none"/>
          <w:rFonts w:ascii="Times New Roman" w:hAnsi="Times New Roman" w:eastAsia="Arial CYR" w:cs="Times New Roman"/>
          <w:color w:val="000000"/>
          <w:lang w:val="ru-RU" w:eastAsia="en-US" w:bidi="en-US"/>
        </w:rPr>
      </w:pPr>
      <w:r>
        <w:rPr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8"/>
          <w:sz w:val="18"/>
          <w:spacing w:val="1"/>
          <w:i w:val="false"/>
          <w:shadow w:val="false"/>
          <w:u w:val="none"/>
          <w:b w:val="false"/>
          <w:shd w:fill="auto" w:val="clear"/>
          <w:sz w:val="18"/>
          <w:i w:val="false"/>
          <w:b w:val="false"/>
          <w:szCs w:val="18"/>
          <w:iCs w:val="false"/>
          <w:bCs/>
          <w:em w:val="none"/>
          <w:rFonts w:ascii="Times New Roman" w:hAnsi="Times New Roman" w:eastAsia="Arial CYR" w:cs="Times New Roman"/>
          <w:color w:val="000000"/>
          <w:lang w:val="ru-RU" w:eastAsia="en-US" w:bidi="en-US"/>
        </w:rPr>
      </w:pPr>
      <w:r>
        <w:rPr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8"/>
          <w:sz w:val="18"/>
          <w:spacing w:val="1"/>
          <w:i w:val="false"/>
          <w:shadow w:val="false"/>
          <w:u w:val="none"/>
          <w:b w:val="false"/>
          <w:shd w:fill="auto" w:val="clear"/>
          <w:sz w:val="18"/>
          <w:i w:val="false"/>
          <w:b w:val="false"/>
          <w:szCs w:val="18"/>
          <w:iCs w:val="false"/>
          <w:bCs/>
          <w:em w:val="none"/>
          <w:rFonts w:ascii="Times New Roman" w:hAnsi="Times New Roman" w:eastAsia="Arial CYR" w:cs="Times New Roman"/>
          <w:color w:val="000000"/>
          <w:lang w:val="ru-RU" w:eastAsia="en-US" w:bidi="en-US"/>
        </w:rPr>
      </w:pPr>
      <w:r>
        <w:rPr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8"/>
          <w:sz w:val="18"/>
          <w:spacing w:val="1"/>
          <w:i w:val="false"/>
          <w:shadow w:val="false"/>
          <w:u w:val="none"/>
          <w:b w:val="false"/>
          <w:shd w:fill="auto" w:val="clear"/>
          <w:sz w:val="18"/>
          <w:i w:val="false"/>
          <w:b w:val="false"/>
          <w:szCs w:val="18"/>
          <w:iCs w:val="false"/>
          <w:bCs/>
          <w:em w:val="none"/>
          <w:rFonts w:ascii="Times New Roman" w:hAnsi="Times New Roman" w:eastAsia="Arial CYR" w:cs="Times New Roman"/>
          <w:color w:val="000000"/>
          <w:lang w:val="ru-RU" w:eastAsia="en-US" w:bidi="en-US"/>
        </w:rPr>
      </w:pPr>
      <w:r>
        <w:rPr>
          <w:sz w:val="28"/>
          <w:szCs w:val="28"/>
        </w:rPr>
      </w:r>
      <w:r/>
    </w:p>
    <w:p>
      <w:pPr>
        <w:pStyle w:val="Normal"/>
        <w:shd w:fill="FFFFFF" w:val="clear"/>
        <w:spacing w:lineRule="auto" w:line="240" w:before="0" w:after="0"/>
        <w:ind w:left="0" w:right="0" w:hanging="0"/>
        <w:jc w:val="both"/>
      </w:pPr>
      <w:r>
        <w:rPr>
          <w:rStyle w:val="Tendersubject1"/>
          <w:rFonts w:eastAsia="Arial CYR" w:cs="Times New Roman"/>
          <w:b w:val="false"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1"/>
          <w:position w:val="0"/>
          <w:sz w:val="20"/>
          <w:sz w:val="18"/>
          <w:szCs w:val="18"/>
          <w:u w:val="none"/>
          <w:shd w:fill="auto" w:val="clear"/>
          <w:vertAlign w:val="baseline"/>
          <w:em w:val="none"/>
          <w:lang w:val="ru-RU" w:eastAsia="en-US" w:bidi="en-US"/>
        </w:rPr>
        <w:t>Исп.: Осипов Р.Г.  Тел.: (495) 784-75-05 доб. 166</w:t>
      </w:r>
      <w:r/>
    </w:p>
    <w:sectPr>
      <w:type w:val="nextPage"/>
      <w:pgSz w:w="11906" w:h="16838"/>
      <w:pgMar w:left="1095" w:right="850" w:header="0" w:top="1134" w:footer="0" w:bottom="181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ru-RU" w:eastAsia="zh-CN" w:bidi="hi-IN"/>
    </w:rPr>
  </w:style>
  <w:style w:type="character" w:styleId="DefaultParagraphFont">
    <w:name w:val="Default Paragraph Font"/>
    <w:rPr/>
  </w:style>
  <w:style w:type="character" w:styleId="ListLabel1">
    <w:name w:val="ListLabel 1"/>
    <w:rPr>
      <w:rFonts w:cs="Courier New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rPr>
      <w:sz w:val="28"/>
      <w:szCs w:val="28"/>
    </w:rPr>
  </w:style>
  <w:style w:type="character" w:styleId="Style16">
    <w:name w:val="Маркеры списка"/>
    <w:rPr>
      <w:rFonts w:ascii="OpenSymbol" w:hAnsi="OpenSymbol" w:eastAsia="OpenSymbol" w:cs="OpenSymbol"/>
    </w:rPr>
  </w:style>
  <w:style w:type="character" w:styleId="Style17">
    <w:name w:val="Основной шрифт абзаца"/>
    <w:rPr/>
  </w:style>
  <w:style w:type="character" w:styleId="Style18">
    <w:name w:val="Основной текст Знак"/>
    <w:basedOn w:val="Style17"/>
    <w:rPr>
      <w:sz w:val="24"/>
      <w:lang w:val="ru-RU" w:bidi="ar-SA"/>
    </w:rPr>
  </w:style>
  <w:style w:type="character" w:styleId="Tendersubject1">
    <w:name w:val="tendersubject1"/>
    <w:basedOn w:val="Style17"/>
    <w:rPr>
      <w:b/>
      <w:bCs/>
      <w:color w:val="0000FF"/>
      <w:sz w:val="20"/>
      <w:szCs w:val="20"/>
    </w:rPr>
  </w:style>
  <w:style w:type="character" w:styleId="Style19">
    <w:name w:val="Выделение жирным"/>
    <w:rPr>
      <w:b/>
      <w:bCs/>
    </w:rPr>
  </w:style>
  <w:style w:type="character" w:styleId="1">
    <w:name w:val="Основной шрифт абзаца1"/>
    <w:rPr/>
  </w:style>
  <w:style w:type="character" w:styleId="Labelnoticename">
    <w:name w:val="label_noticename"/>
    <w:basedOn w:val="1"/>
    <w:rPr/>
  </w:style>
  <w:style w:type="paragraph" w:styleId="Style20">
    <w:name w:val="Заголовок"/>
    <w:basedOn w:val="Normal"/>
    <w:next w:val="Style21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Основной текст"/>
    <w:basedOn w:val="Normal"/>
    <w:pPr>
      <w:spacing w:before="0" w:after="120"/>
    </w:pPr>
    <w:rPr/>
  </w:style>
  <w:style w:type="paragraph" w:styleId="Style22">
    <w:name w:val="Заглавие"/>
    <w:basedOn w:val="Normal"/>
    <w:next w:val="Style21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3">
    <w:name w:val="Подзаголовок"/>
    <w:basedOn w:val="Style22"/>
    <w:next w:val="Style21"/>
    <w:pPr>
      <w:jc w:val="center"/>
    </w:pPr>
    <w:rPr>
      <w:i/>
      <w:iCs/>
      <w:sz w:val="28"/>
      <w:szCs w:val="28"/>
    </w:rPr>
  </w:style>
  <w:style w:type="paragraph" w:styleId="Style24">
    <w:name w:val="Список"/>
    <w:basedOn w:val="Style21"/>
    <w:pPr/>
    <w:rPr>
      <w:rFonts w:cs="Mangal"/>
    </w:rPr>
  </w:style>
  <w:style w:type="paragraph" w:styleId="Style2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pPr>
      <w:suppressLineNumbers/>
    </w:pPr>
    <w:rPr>
      <w:rFonts w:cs="Mangal"/>
    </w:rPr>
  </w:style>
  <w:style w:type="paragraph" w:styleId="21">
    <w:name w:val="Основной текст с отступом 21"/>
    <w:basedOn w:val="Normal"/>
    <w:pPr>
      <w:suppressAutoHyphens w:val="true"/>
      <w:ind w:left="0" w:right="0" w:firstLine="708"/>
      <w:jc w:val="both"/>
    </w:pPr>
    <w:rPr>
      <w:sz w:val="28"/>
    </w:rPr>
  </w:style>
  <w:style w:type="paragraph" w:styleId="ConsPlusDocList">
    <w:name w:val="  ConsPlusDocList"/>
    <w:next w:val="Normal"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auto"/>
      <w:position w:val="0"/>
      <w:sz w:val="20"/>
      <w:sz w:val="20"/>
      <w:szCs w:val="20"/>
      <w:u w:val="none"/>
      <w:vertAlign w:val="baseline"/>
      <w:lang w:val="ru-RU" w:eastAsia="zh-CN" w:bidi="hi-IN"/>
    </w:rPr>
  </w:style>
  <w:style w:type="paragraph" w:styleId="Standard">
    <w:name w:val="Standard"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Arial Unicode MS" w:cs="Arial"/>
      <w:color w:val="auto"/>
      <w:sz w:val="28"/>
      <w:szCs w:val="24"/>
      <w:lang w:val="ru-RU" w:eastAsia="zh-CN" w:bidi="ar-SA"/>
    </w:rPr>
  </w:style>
  <w:style w:type="paragraph" w:styleId="3">
    <w:name w:val="Основной текст 3"/>
    <w:basedOn w:val="Normal"/>
    <w:pPr>
      <w:spacing w:before="0" w:after="120"/>
    </w:pPr>
    <w:rPr>
      <w:sz w:val="16"/>
      <w:szCs w:val="16"/>
    </w:rPr>
  </w:style>
  <w:style w:type="paragraph" w:styleId="NoSpacing">
    <w:name w:val="No Spacing"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8"/>
      <w:szCs w:val="22"/>
      <w:lang w:val="ru-RU" w:eastAsia="zh-CN" w:bidi="ar-SA"/>
    </w:rPr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77@fas.gov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Application>LibreOffice/4.3.1.2$Windows_x86 LibreOffice_project/958349dc3b25111dbca392fbc281a05559ef6848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2012-10-29T09:26:00Z</dcterms:created>
  <dc:creator>Пономарева</dc:creator>
  <dc:language>ru-RU</dc:language>
  <cp:lastPrinted>2014-10-23T17:13:30Z</cp:lastPrinted>
  <dcterms:modified xsi:type="dcterms:W3CDTF">2014-10-23T17:13:39Z</dcterms:modified>
  <cp:revision>23</cp:revision>
</cp:coreProperties>
</file>