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885" w:type="dxa"/>
        <w:jc w:val="left"/>
        <w:tblInd w:w="129" w:type="dxa"/>
        <w:tblBorders/>
        <w:tblCellMar>
          <w:top w:w="0" w:type="dxa"/>
          <w:left w:w="108" w:type="dxa"/>
          <w:bottom w:w="0" w:type="dxa"/>
          <w:right w:w="108" w:type="dxa"/>
        </w:tblCellMar>
      </w:tblPr>
      <w:tblGrid>
        <w:gridCol w:w="4200"/>
        <w:gridCol w:w="360"/>
        <w:gridCol w:w="5325"/>
      </w:tblGrid>
      <w:tr>
        <w:trPr>
          <w:trHeight w:val="4860" w:hRule="atLeast"/>
        </w:trPr>
        <w:tc>
          <w:tcPr>
            <w:tcW w:w="4200" w:type="dxa"/>
            <w:tcBorders/>
            <w:shd w:fill="auto" w:val="clear"/>
          </w:tcPr>
          <w:p>
            <w:pPr>
              <w:pStyle w:val="Normal"/>
              <w:tabs>
                <w:tab w:val="left" w:pos="7702" w:leader="none"/>
              </w:tabs>
              <w:snapToGrid w:val="false"/>
              <w:rPr>
                <w:sz w:val="28"/>
                <w:b w:val="false"/>
                <w:sz w:val="28"/>
                <w:b w:val="false"/>
                <w:szCs w:val="28"/>
                <w:bCs w:val="false"/>
                <w:color w:val="auto"/>
              </w:rPr>
            </w:pPr>
            <w:r>
              <w:rPr>
                <w:b w:val="false"/>
                <w:bCs w:val="false"/>
                <w:sz w:val="28"/>
                <w:szCs w:val="28"/>
              </w:rPr>
            </w:r>
            <w:r/>
          </w:p>
        </w:tc>
        <w:tc>
          <w:tcPr>
            <w:tcW w:w="360" w:type="dxa"/>
            <w:tcBorders/>
            <w:shd w:fill="auto" w:val="clear"/>
          </w:tcPr>
          <w:p>
            <w:pPr>
              <w:pStyle w:val="Normal"/>
              <w:tabs>
                <w:tab w:val="left" w:pos="7702" w:leader="none"/>
              </w:tabs>
              <w:snapToGrid w:val="false"/>
              <w:rPr>
                <w:sz w:val="28"/>
                <w:b w:val="false"/>
                <w:sz w:val="28"/>
                <w:b w:val="false"/>
                <w:szCs w:val="28"/>
                <w:bCs w:val="false"/>
                <w:color w:val="auto"/>
              </w:rPr>
            </w:pPr>
            <w:r>
              <w:rPr>
                <w:b w:val="false"/>
                <w:bCs w:val="false"/>
                <w:sz w:val="28"/>
                <w:szCs w:val="28"/>
              </w:rPr>
            </w:r>
            <w:r/>
          </w:p>
        </w:tc>
        <w:tc>
          <w:tcPr>
            <w:tcW w:w="5325" w:type="dxa"/>
            <w:tcBorders/>
            <w:shd w:fill="auto" w:val="clear"/>
          </w:tcPr>
          <w:p>
            <w:pPr>
              <w:pStyle w:val="Normal"/>
              <w:tabs>
                <w:tab w:val="left" w:pos="7702" w:leader="none"/>
              </w:tabs>
              <w:snapToGrid w:val="false"/>
              <w:spacing w:lineRule="exact" w:line="283"/>
              <w:ind w:left="0" w:right="-58" w:hanging="0"/>
              <w:rPr>
                <w:sz w:val="28"/>
                <w:shd w:fill="auto" w:val="clear"/>
                <w:sz w:val="28"/>
                <w:szCs w:val="28"/>
                <w:color w:val="000000"/>
              </w:rPr>
            </w:pPr>
            <w:r>
              <w:rPr>
                <w:color w:val="000000"/>
                <w:sz w:val="28"/>
                <w:szCs w:val="28"/>
                <w:shd w:fill="auto" w:val="clear"/>
              </w:rPr>
            </w:r>
            <w:r/>
          </w:p>
          <w:p>
            <w:pPr>
              <w:pStyle w:val="Normal"/>
              <w:numPr>
                <w:ilvl w:val="0"/>
                <w:numId w:val="2"/>
              </w:numPr>
              <w:tabs>
                <w:tab w:val="left" w:pos="8172" w:leader="none"/>
              </w:tabs>
              <w:spacing w:lineRule="exact" w:line="283"/>
              <w:ind w:left="17" w:right="5" w:hanging="0"/>
              <w:jc w:val="both"/>
              <w:rPr>
                <w:sz w:val="28"/>
                <w:i w:val="false"/>
                <w:b w:val="false"/>
                <w:sz w:val="28"/>
                <w:i w:val="false"/>
                <w:b w:val="false"/>
                <w:szCs w:val="28"/>
                <w:iCs w:val="false"/>
                <w:bCs w:val="false"/>
                <w:rFonts w:ascii="Times New Roman" w:hAnsi="Times New Roman" w:eastAsia="Times-Roman" w:cs="Times-Roman"/>
                <w:color w:val="000000"/>
              </w:rPr>
            </w:pPr>
            <w:r>
              <w:rPr>
                <w:rFonts w:eastAsia="Times-Roman" w:cs="Times-Roman"/>
                <w:b w:val="false"/>
                <w:bCs w:val="false"/>
                <w:i w:val="false"/>
                <w:iCs w:val="false"/>
                <w:color w:val="000000"/>
                <w:sz w:val="28"/>
                <w:szCs w:val="28"/>
              </w:rPr>
              <w:t xml:space="preserve">Государственное бюджетное учреждение культуры города Москвы "Московский академический Музыкальный театр имени народных артистов К. С. Станиславского и Вл. И. Немировича-Данченко" </w:t>
            </w:r>
            <w:r/>
          </w:p>
          <w:p>
            <w:pPr>
              <w:pStyle w:val="Normal"/>
              <w:tabs>
                <w:tab w:val="left" w:pos="8172" w:leader="none"/>
              </w:tabs>
              <w:spacing w:lineRule="exact" w:line="283"/>
              <w:ind w:left="17" w:right="5" w:hanging="0"/>
              <w:jc w:val="left"/>
              <w:rPr>
                <w:sz w:val="28"/>
                <w:i w:val="false"/>
                <w:b w:val="false"/>
                <w:sz w:val="28"/>
                <w:i w:val="false"/>
                <w:b w:val="false"/>
                <w:szCs w:val="28"/>
                <w:iCs w:val="false"/>
                <w:bCs w:val="false"/>
                <w:rFonts w:ascii="Times New Roman" w:hAnsi="Times New Roman"/>
                <w:color w:val="000000"/>
              </w:rPr>
            </w:pPr>
            <w:r>
              <w:rPr>
                <w:b w:val="false"/>
                <w:bCs w:val="false"/>
                <w:i w:val="false"/>
                <w:iCs w:val="false"/>
                <w:color w:val="000000"/>
                <w:sz w:val="28"/>
                <w:szCs w:val="28"/>
              </w:rPr>
            </w:r>
            <w:r/>
          </w:p>
          <w:p>
            <w:pPr>
              <w:pStyle w:val="Normal"/>
              <w:tabs>
                <w:tab w:val="left" w:pos="8172" w:leader="none"/>
              </w:tabs>
              <w:spacing w:lineRule="exact" w:line="283"/>
              <w:ind w:left="17" w:right="5" w:hanging="0"/>
              <w:jc w:val="left"/>
              <w:rPr>
                <w:sz w:val="28"/>
                <w:i w:val="false"/>
                <w:b w:val="false"/>
                <w:shd w:fill="auto" w:val="clear"/>
                <w:sz w:val="28"/>
                <w:i w:val="false"/>
                <w:b w:val="false"/>
                <w:szCs w:val="28"/>
                <w:iCs w:val="false"/>
                <w:bCs w:val="false"/>
                <w:rFonts w:ascii="Times New Roman" w:hAnsi="Times New Roman" w:eastAsia="Times-Roman" w:cs="Times-Roman"/>
                <w:color w:val="000000"/>
                <w:lang w:val="ru-RU"/>
              </w:rPr>
            </w:pPr>
            <w:r>
              <w:rPr>
                <w:rFonts w:eastAsia="Times-Roman" w:cs="Times-Roman"/>
                <w:b w:val="false"/>
                <w:bCs w:val="false"/>
                <w:i w:val="false"/>
                <w:iCs w:val="false"/>
                <w:color w:val="000000"/>
                <w:sz w:val="28"/>
                <w:szCs w:val="28"/>
                <w:shd w:fill="auto" w:val="clear"/>
                <w:lang w:val="ru-RU"/>
              </w:rPr>
              <w:t xml:space="preserve">125009, Москва, ул. Большая Дмитровка, д. 17 </w:t>
            </w:r>
            <w:r/>
          </w:p>
          <w:p>
            <w:pPr>
              <w:pStyle w:val="Normal"/>
              <w:tabs>
                <w:tab w:val="left" w:pos="8172" w:leader="none"/>
              </w:tabs>
              <w:spacing w:lineRule="exact" w:line="283"/>
              <w:ind w:left="17" w:right="5" w:hanging="0"/>
              <w:jc w:val="left"/>
              <w:rPr>
                <w:sz w:val="28"/>
                <w:i w:val="false"/>
                <w:b w:val="false"/>
                <w:shd w:fill="auto" w:val="clear"/>
                <w:sz w:val="28"/>
                <w:i w:val="false"/>
                <w:b w:val="false"/>
                <w:szCs w:val="28"/>
                <w:iCs w:val="false"/>
                <w:bCs w:val="false"/>
                <w:rFonts w:cs="Times New Roman"/>
                <w:color w:val="000000"/>
                <w:lang w:val="ru-RU"/>
              </w:rPr>
            </w:pPr>
            <w:r>
              <w:rPr>
                <w:rFonts w:cs="Times New Roman"/>
                <w:b w:val="false"/>
                <w:bCs w:val="false"/>
                <w:i w:val="false"/>
                <w:iCs w:val="false"/>
                <w:color w:val="000000"/>
                <w:sz w:val="28"/>
                <w:szCs w:val="28"/>
                <w:shd w:fill="auto" w:val="clear"/>
                <w:lang w:val="ru-RU"/>
              </w:rPr>
            </w:r>
            <w:r/>
          </w:p>
          <w:p>
            <w:pPr>
              <w:pStyle w:val="Normal"/>
              <w:tabs>
                <w:tab w:val="left" w:pos="8172" w:leader="none"/>
              </w:tabs>
              <w:spacing w:lineRule="exact" w:line="283"/>
              <w:ind w:left="17" w:right="5" w:hanging="0"/>
              <w:jc w:val="left"/>
            </w:pPr>
            <w:r>
              <w:rPr>
                <w:rFonts w:cs="Times New Roman"/>
                <w:b w:val="false"/>
                <w:bCs w:val="false"/>
                <w:i w:val="false"/>
                <w:iCs w:val="false"/>
                <w:color w:val="000000"/>
                <w:sz w:val="28"/>
                <w:szCs w:val="28"/>
                <w:shd w:fill="auto" w:val="clear"/>
                <w:lang w:val="ru-RU"/>
              </w:rPr>
              <w:t>2. ООО</w:t>
            </w:r>
            <w:r>
              <w:rPr>
                <w:rFonts w:eastAsia="Times-Bold" w:cs="Times-Bold" w:ascii="Times-Bold" w:hAnsi="Times-Bold"/>
                <w:b w:val="false"/>
                <w:bCs w:val="false"/>
                <w:i w:val="false"/>
                <w:iCs w:val="false"/>
                <w:color w:val="000000"/>
                <w:sz w:val="28"/>
                <w:szCs w:val="28"/>
                <w:shd w:fill="auto" w:val="clear"/>
                <w:lang w:val="ru-RU"/>
              </w:rPr>
              <w:t xml:space="preserve"> «ИКАНД»</w:t>
            </w:r>
            <w:r/>
          </w:p>
          <w:p>
            <w:pPr>
              <w:pStyle w:val="Normal"/>
              <w:tabs>
                <w:tab w:val="left" w:pos="8172" w:leader="none"/>
              </w:tabs>
              <w:spacing w:lineRule="exact" w:line="283"/>
              <w:ind w:left="17" w:right="5" w:hanging="0"/>
              <w:jc w:val="left"/>
              <w:rPr>
                <w:sz w:val="28"/>
                <w:i w:val="false"/>
                <w:b w:val="false"/>
                <w:sz w:val="28"/>
                <w:i w:val="false"/>
                <w:b w:val="false"/>
                <w:szCs w:val="28"/>
                <w:iCs w:val="false"/>
                <w:bCs w:val="false"/>
                <w:color w:val="000000"/>
              </w:rPr>
            </w:pPr>
            <w:r>
              <w:rPr>
                <w:b w:val="false"/>
                <w:bCs w:val="false"/>
                <w:i w:val="false"/>
                <w:iCs w:val="false"/>
                <w:color w:val="000000"/>
                <w:sz w:val="28"/>
                <w:szCs w:val="28"/>
              </w:rPr>
            </w:r>
            <w:r/>
          </w:p>
          <w:p>
            <w:pPr>
              <w:pStyle w:val="Normal"/>
              <w:tabs>
                <w:tab w:val="left" w:pos="8172" w:leader="none"/>
              </w:tabs>
              <w:spacing w:lineRule="exact" w:line="283"/>
              <w:ind w:left="17" w:right="5" w:hanging="0"/>
              <w:jc w:val="left"/>
              <w:rPr>
                <w:sz w:val="28"/>
                <w:i w:val="false"/>
                <w:b w:val="false"/>
                <w:sz w:val="28"/>
                <w:i w:val="false"/>
                <w:b w:val="false"/>
                <w:szCs w:val="28"/>
                <w:iCs w:val="false"/>
                <w:bCs w:val="false"/>
                <w:rFonts w:ascii="Times-Roman" w:hAnsi="Times-Roman" w:eastAsia="Times-Roman" w:cs="Times-Roman"/>
                <w:color w:val="000000"/>
              </w:rPr>
            </w:pPr>
            <w:r>
              <w:rPr>
                <w:rFonts w:eastAsia="Times-Roman" w:cs="Times-Roman" w:ascii="Times-Roman" w:hAnsi="Times-Roman"/>
                <w:b w:val="false"/>
                <w:bCs w:val="false"/>
                <w:i w:val="false"/>
                <w:iCs w:val="false"/>
                <w:color w:val="000000"/>
                <w:sz w:val="28"/>
                <w:szCs w:val="28"/>
              </w:rPr>
              <w:t>119331, г. Москва, ул. Марии Ульяновой, д. 11</w:t>
            </w:r>
            <w:r/>
          </w:p>
          <w:p>
            <w:pPr>
              <w:pStyle w:val="Normal"/>
              <w:tabs>
                <w:tab w:val="left" w:pos="8172" w:leader="none"/>
              </w:tabs>
              <w:spacing w:lineRule="exact" w:line="283"/>
              <w:ind w:left="17" w:right="5" w:hanging="0"/>
              <w:jc w:val="left"/>
              <w:rPr>
                <w:sz w:val="28"/>
                <w:i w:val="false"/>
                <w:b w:val="false"/>
                <w:shd w:fill="auto" w:val="clear"/>
                <w:sz w:val="28"/>
                <w:i w:val="false"/>
                <w:b w:val="false"/>
                <w:szCs w:val="28"/>
                <w:iCs w:val="false"/>
                <w:bCs w:val="false"/>
                <w:rFonts w:cs="Times New Roman"/>
                <w:color w:val="000000"/>
                <w:lang w:val="ru-RU"/>
              </w:rPr>
            </w:pPr>
            <w:r>
              <w:rPr>
                <w:rFonts w:cs="Times New Roman"/>
                <w:b w:val="false"/>
                <w:bCs w:val="false"/>
                <w:i w:val="false"/>
                <w:iCs w:val="false"/>
                <w:color w:val="000000"/>
                <w:sz w:val="28"/>
                <w:szCs w:val="28"/>
                <w:shd w:fill="auto" w:val="clear"/>
                <w:lang w:val="ru-RU"/>
              </w:rPr>
            </w:r>
            <w:r/>
          </w:p>
          <w:p>
            <w:pPr>
              <w:pStyle w:val="Normal"/>
              <w:numPr>
                <w:ilvl w:val="0"/>
                <w:numId w:val="0"/>
              </w:numPr>
              <w:tabs>
                <w:tab w:val="left" w:pos="8172" w:leader="none"/>
              </w:tabs>
              <w:spacing w:lineRule="exact" w:line="283"/>
              <w:ind w:left="0" w:right="5" w:hanging="0"/>
              <w:jc w:val="left"/>
              <w:rPr>
                <w:sz w:val="28"/>
                <w:i w:val="false"/>
                <w:b w:val="false"/>
                <w:shd w:fill="auto" w:val="clear"/>
                <w:sz w:val="28"/>
                <w:i w:val="false"/>
                <w:b w:val="false"/>
                <w:szCs w:val="28"/>
                <w:iCs w:val="false"/>
                <w:bCs w:val="false"/>
                <w:rFonts w:cs="Times New Roman"/>
                <w:color w:val="000000"/>
                <w:lang w:val="ru-RU"/>
              </w:rPr>
            </w:pPr>
            <w:r>
              <w:rPr>
                <w:rFonts w:cs="Times New Roman"/>
                <w:b w:val="false"/>
                <w:bCs w:val="false"/>
                <w:i w:val="false"/>
                <w:iCs w:val="false"/>
                <w:color w:val="000000"/>
                <w:sz w:val="28"/>
                <w:szCs w:val="28"/>
                <w:shd w:fill="auto" w:val="clear"/>
                <w:lang w:val="ru-RU"/>
              </w:rPr>
              <w:t>3. ОАО «Единая электронная площадка»</w:t>
            </w:r>
            <w:r/>
          </w:p>
          <w:p>
            <w:pPr>
              <w:pStyle w:val="Normal"/>
              <w:tabs>
                <w:tab w:val="left" w:pos="8172" w:leader="none"/>
              </w:tabs>
              <w:spacing w:lineRule="exact" w:line="283"/>
              <w:ind w:left="17" w:right="5" w:hanging="0"/>
              <w:jc w:val="left"/>
              <w:rPr>
                <w:sz w:val="28"/>
                <w:i w:val="false"/>
                <w:b w:val="false"/>
                <w:shd w:fill="auto" w:val="clear"/>
                <w:sz w:val="28"/>
                <w:i w:val="false"/>
                <w:b w:val="false"/>
                <w:szCs w:val="28"/>
                <w:iCs w:val="false"/>
                <w:bCs w:val="false"/>
                <w:rFonts w:cs="Times New Roman"/>
                <w:color w:val="000000"/>
                <w:lang w:val="ru-RU"/>
              </w:rPr>
            </w:pPr>
            <w:r>
              <w:rPr>
                <w:rFonts w:cs="Times New Roman"/>
                <w:b w:val="false"/>
                <w:bCs w:val="false"/>
                <w:i w:val="false"/>
                <w:iCs w:val="false"/>
                <w:color w:val="000000"/>
                <w:sz w:val="28"/>
                <w:szCs w:val="28"/>
                <w:shd w:fill="auto" w:val="clear"/>
                <w:lang w:val="ru-RU"/>
              </w:rPr>
            </w:r>
            <w:r/>
          </w:p>
          <w:p>
            <w:pPr>
              <w:pStyle w:val="Normal"/>
              <w:tabs>
                <w:tab w:val="left" w:pos="8172" w:leader="none"/>
              </w:tabs>
              <w:spacing w:lineRule="exact" w:line="283"/>
              <w:ind w:left="17" w:right="5" w:hanging="0"/>
              <w:jc w:val="left"/>
              <w:rPr>
                <w:sz w:val="28"/>
                <w:i w:val="false"/>
                <w:b w:val="false"/>
                <w:shd w:fill="auto" w:val="clear"/>
                <w:sz w:val="28"/>
                <w:i w:val="false"/>
                <w:b w:val="false"/>
                <w:szCs w:val="28"/>
                <w:iCs w:val="false"/>
                <w:bCs w:val="false"/>
                <w:rFonts w:cs="Times New Roman"/>
                <w:color w:val="000000"/>
                <w:lang w:val="ru-RU"/>
              </w:rPr>
            </w:pPr>
            <w:r>
              <w:rPr>
                <w:rFonts w:cs="Times New Roman"/>
                <w:b w:val="false"/>
                <w:bCs w:val="false"/>
                <w:i w:val="false"/>
                <w:iCs w:val="false"/>
                <w:color w:val="000000"/>
                <w:sz w:val="28"/>
                <w:szCs w:val="28"/>
                <w:shd w:fill="auto" w:val="clear"/>
                <w:lang w:val="ru-RU"/>
              </w:rPr>
              <w:t>127006, г. Москва, ул. Каретный ряд, д.2/1</w:t>
            </w:r>
            <w:r/>
          </w:p>
        </w:tc>
      </w:tr>
    </w:tbl>
    <w:p>
      <w:pPr>
        <w:pStyle w:val="Normal"/>
        <w:widowControl w:val="false"/>
        <w:tabs>
          <w:tab w:val="left" w:pos="4905" w:leader="none"/>
        </w:tabs>
        <w:suppressAutoHyphens w:val="true"/>
        <w:spacing w:lineRule="auto" w:line="240" w:before="0" w:after="0"/>
        <w:rPr>
          <w:sz w:val="28"/>
          <w:shd w:fill="auto" w:val="clear"/>
          <w:sz w:val="28"/>
          <w:szCs w:val="28"/>
          <w:rFonts w:ascii="Times New Roman" w:hAnsi="Times New Roman" w:eastAsia="Times New Roman" w:cs="Times New Roman"/>
          <w:color w:val="auto"/>
          <w:lang w:eastAsia="ar-SA"/>
        </w:rPr>
      </w:pPr>
      <w:r>
        <w:rPr>
          <w:rFonts w:eastAsia="Times New Roman" w:cs="Times New Roman"/>
          <w:sz w:val="28"/>
          <w:szCs w:val="28"/>
          <w:shd w:fill="auto" w:val="clear"/>
          <w:lang w:eastAsia="ar-SA"/>
        </w:rPr>
      </w:r>
      <w:r/>
    </w:p>
    <w:p>
      <w:pPr>
        <w:pStyle w:val="Normal"/>
        <w:keepNext/>
        <w:widowControl w:val="false"/>
        <w:numPr>
          <w:ilvl w:val="1"/>
          <w:numId w:val="1"/>
        </w:numPr>
        <w:suppressAutoHyphens w:val="true"/>
        <w:spacing w:lineRule="atLeast" w:line="200" w:before="0" w:after="0"/>
        <w:ind w:left="15" w:right="0" w:hanging="30"/>
        <w:jc w:val="center"/>
        <w:rPr>
          <w:sz w:val="28"/>
          <w:b/>
          <w:shd w:fill="auto" w:val="clear"/>
          <w:sz w:val="28"/>
          <w:b/>
          <w:szCs w:val="28"/>
          <w:bCs/>
          <w:rFonts w:ascii="Times New Roman" w:hAnsi="Times New Roman" w:eastAsia="Times New Roman" w:cs="Times New Roman"/>
          <w:color w:val="auto"/>
          <w:lang w:eastAsia="ar-SA"/>
        </w:rPr>
      </w:pPr>
      <w:r>
        <w:rPr>
          <w:rFonts w:eastAsia="Times New Roman" w:cs="Times New Roman"/>
          <w:b/>
          <w:bCs/>
          <w:sz w:val="28"/>
          <w:szCs w:val="28"/>
          <w:shd w:fill="auto" w:val="clear"/>
          <w:lang w:eastAsia="ar-SA"/>
        </w:rPr>
        <w:t xml:space="preserve">ПРЕДПИСАНИЕ </w:t>
      </w:r>
      <w:r/>
    </w:p>
    <w:p>
      <w:pPr>
        <w:pStyle w:val="Normal"/>
        <w:widowControl w:val="false"/>
        <w:suppressAutoHyphens w:val="true"/>
        <w:spacing w:lineRule="atLeast" w:line="200" w:before="0" w:after="0"/>
        <w:ind w:left="15" w:right="0" w:firstLine="600"/>
        <w:jc w:val="center"/>
      </w:pPr>
      <w:r>
        <w:rPr>
          <w:rFonts w:eastAsia="Times New Roman" w:cs="Times New Roman"/>
          <w:color w:val="000000"/>
          <w:sz w:val="28"/>
          <w:szCs w:val="28"/>
          <w:shd w:fill="auto" w:val="clear"/>
          <w:lang w:eastAsia="ar-SA"/>
        </w:rPr>
        <w:t xml:space="preserve">по делу №2-57-6979/77-13 об устранении нарушений </w:t>
      </w:r>
      <w:r/>
    </w:p>
    <w:p>
      <w:pPr>
        <w:pStyle w:val="Normal"/>
        <w:widowControl w:val="false"/>
        <w:suppressAutoHyphens w:val="true"/>
        <w:spacing w:lineRule="atLeast" w:line="200" w:before="0" w:after="0"/>
        <w:ind w:left="15" w:right="0" w:firstLine="600"/>
        <w:jc w:val="center"/>
        <w:rPr>
          <w:sz w:val="28"/>
          <w:shd w:fill="auto" w:val="clear"/>
          <w:sz w:val="28"/>
          <w:szCs w:val="28"/>
          <w:rFonts w:ascii="Times New Roman" w:hAnsi="Times New Roman" w:eastAsia="Times New Roman" w:cs="Times New Roman"/>
          <w:color w:val="000000"/>
          <w:lang w:eastAsia="ar-SA"/>
        </w:rPr>
      </w:pPr>
      <w:r>
        <w:rPr>
          <w:rFonts w:eastAsia="Times New Roman" w:cs="Times New Roman"/>
          <w:color w:val="000000"/>
          <w:sz w:val="28"/>
          <w:szCs w:val="28"/>
          <w:shd w:fill="auto" w:val="clear"/>
          <w:lang w:eastAsia="ar-SA"/>
        </w:rPr>
        <w:t>законодательства о размещении заказов</w:t>
      </w:r>
      <w:r/>
    </w:p>
    <w:p>
      <w:pPr>
        <w:pStyle w:val="Normal"/>
        <w:widowControl w:val="false"/>
        <w:suppressAutoHyphens w:val="true"/>
        <w:spacing w:lineRule="atLeast" w:line="200" w:before="0" w:after="0"/>
        <w:ind w:left="15" w:right="0" w:firstLine="600"/>
        <w:jc w:val="center"/>
        <w:rPr>
          <w:sz w:val="28"/>
          <w:spacing w:val="-3"/>
          <w:b/>
          <w:shd w:fill="auto" w:val="clear"/>
          <w:sz w:val="28"/>
          <w:b/>
          <w:szCs w:val="28"/>
          <w:bCs/>
          <w:rFonts w:ascii="Times New Roman" w:hAnsi="Times New Roman" w:eastAsia="Times New Roman" w:cs="Times New Roman"/>
          <w:color w:val="000000"/>
          <w:lang w:eastAsia="ar-SA"/>
        </w:rPr>
      </w:pPr>
      <w:r>
        <w:rPr>
          <w:rFonts w:eastAsia="Times New Roman" w:cs="Times New Roman"/>
          <w:b/>
          <w:bCs/>
          <w:color w:val="000000"/>
          <w:spacing w:val="-3"/>
          <w:sz w:val="28"/>
          <w:szCs w:val="28"/>
          <w:shd w:fill="auto" w:val="clear"/>
          <w:lang w:eastAsia="ar-SA"/>
        </w:rPr>
      </w:r>
      <w:r/>
    </w:p>
    <w:p>
      <w:pPr>
        <w:pStyle w:val="Normal"/>
        <w:widowControl w:val="false"/>
        <w:suppressAutoHyphens w:val="true"/>
        <w:spacing w:lineRule="auto" w:line="240" w:before="0" w:after="0"/>
        <w:ind w:left="15" w:right="0" w:hanging="0"/>
      </w:pPr>
      <w:r>
        <w:rPr>
          <w:rFonts w:eastAsia="Times New Roman" w:cs="Times New Roman"/>
          <w:b/>
          <w:bCs/>
          <w:color w:val="000000"/>
          <w:sz w:val="28"/>
          <w:szCs w:val="28"/>
          <w:shd w:fill="auto" w:val="clear"/>
          <w:lang w:eastAsia="ar-SA"/>
        </w:rPr>
        <w:t xml:space="preserve">28.11.2013  </w:t>
      </w:r>
      <w:r>
        <w:rPr>
          <w:rFonts w:eastAsia="Times New Roman" w:cs="Times New Roman"/>
          <w:b/>
          <w:bCs/>
          <w:sz w:val="28"/>
          <w:szCs w:val="28"/>
          <w:shd w:fill="auto" w:val="clear"/>
          <w:lang w:eastAsia="ar-SA"/>
        </w:rPr>
        <w:t xml:space="preserve">                                                                                           г. Москва</w:t>
      </w:r>
      <w:r/>
    </w:p>
    <w:p>
      <w:pPr>
        <w:pStyle w:val="Normal"/>
        <w:widowControl w:val="false"/>
        <w:suppressAutoHyphens w:val="true"/>
        <w:spacing w:lineRule="auto" w:line="240" w:before="57" w:after="0"/>
        <w:ind w:left="15" w:right="0" w:firstLine="600"/>
        <w:jc w:val="both"/>
      </w:pPr>
      <w:r>
        <w:rPr>
          <w:rFonts w:eastAsia="Times New Roman" w:cs="Times New Roman"/>
          <w:sz w:val="28"/>
          <w:szCs w:val="28"/>
          <w:shd w:fill="auto" w:val="clear"/>
          <w:lang w:eastAsia="ar-SA"/>
        </w:rPr>
        <w:t xml:space="preserve">Комиссия Управления Федеральной антимонопольной службы по г. Москве </w:t>
      </w:r>
      <w:r>
        <w:rPr>
          <w:rFonts w:eastAsia="Times New Roman" w:cs="Times New Roman"/>
          <w:color w:val="000000"/>
          <w:spacing w:val="1"/>
          <w:sz w:val="28"/>
          <w:szCs w:val="28"/>
          <w:shd w:fill="auto" w:val="clear"/>
          <w:lang w:eastAsia="ar-SA"/>
        </w:rPr>
        <w:t xml:space="preserve">по контролю </w:t>
      </w:r>
      <w:r>
        <w:rPr>
          <w:rFonts w:eastAsia="Times New Roman" w:cs="Times New Roman"/>
          <w:color w:val="000000"/>
          <w:spacing w:val="-2"/>
          <w:sz w:val="28"/>
          <w:szCs w:val="28"/>
          <w:shd w:fill="auto" w:val="clear"/>
          <w:lang w:eastAsia="ar-SA"/>
        </w:rPr>
        <w:t xml:space="preserve"> в сфере размещения заказов </w:t>
      </w:r>
      <w:r>
        <w:rPr>
          <w:rFonts w:eastAsia="Times New Roman" w:cs="Times New Roman"/>
          <w:sz w:val="28"/>
          <w:szCs w:val="28"/>
          <w:shd w:fill="auto" w:val="clear"/>
          <w:lang w:eastAsia="ar-SA"/>
        </w:rPr>
        <w:t>(далее – Комиссия) в составе:</w:t>
      </w:r>
      <w:r/>
    </w:p>
    <w:p>
      <w:pPr>
        <w:pStyle w:val="Normal"/>
        <w:shd w:fill="FFFFFF" w:val="clear"/>
        <w:spacing w:lineRule="exact" w:line="283" w:before="0" w:after="0"/>
        <w:ind w:left="63" w:right="0" w:hanging="0"/>
        <w:jc w:val="both"/>
      </w:pPr>
      <w:r>
        <w:rPr>
          <w:color w:val="000000"/>
          <w:spacing w:val="-2"/>
          <w:sz w:val="28"/>
          <w:szCs w:val="28"/>
          <w:shd w:fill="auto" w:val="clear"/>
          <w:lang w:val="ru-RU"/>
        </w:rPr>
        <w:t xml:space="preserve">   </w:t>
      </w:r>
      <w:r>
        <w:rPr>
          <w:color w:val="000000"/>
          <w:spacing w:val="-2"/>
          <w:sz w:val="28"/>
          <w:szCs w:val="28"/>
          <w:shd w:fill="auto" w:val="clear"/>
          <w:lang w:val="ru-RU"/>
        </w:rPr>
        <w:t xml:space="preserve">Заместителя Председателя - заместителя </w:t>
      </w:r>
      <w:r>
        <w:rPr>
          <w:color w:val="000000"/>
          <w:spacing w:val="1"/>
          <w:sz w:val="28"/>
          <w:szCs w:val="28"/>
          <w:shd w:fill="auto" w:val="clear"/>
          <w:lang w:val="ru-RU"/>
        </w:rPr>
        <w:t xml:space="preserve">начальника отдела </w:t>
      </w:r>
      <w:r>
        <w:rPr>
          <w:rStyle w:val="Tendersubject1"/>
          <w:rFonts w:eastAsia="Arial" w:cs="Times New Roman"/>
          <w:b w:val="false"/>
          <w:bCs w:val="false"/>
          <w:i w:val="false"/>
          <w:iCs w:val="false"/>
          <w:caps w:val="false"/>
          <w:smallCaps w:val="false"/>
          <w:color w:val="000000"/>
          <w:spacing w:val="1"/>
          <w:sz w:val="28"/>
          <w:szCs w:val="28"/>
          <w:u w:val="none"/>
          <w:shd w:fill="auto" w:val="clear"/>
          <w:lang w:val="ru-RU" w:eastAsia="en-US"/>
        </w:rPr>
        <w:t>контроля за размещением</w:t>
      </w:r>
      <w:r>
        <w:rPr>
          <w:color w:val="000000"/>
          <w:spacing w:val="1"/>
          <w:sz w:val="28"/>
          <w:szCs w:val="28"/>
          <w:shd w:fill="auto" w:val="clear"/>
          <w:lang w:val="ru-RU"/>
        </w:rPr>
        <w:t xml:space="preserve"> государственного заказа Мурашова В.О.,</w:t>
      </w:r>
      <w:r/>
    </w:p>
    <w:p>
      <w:pPr>
        <w:pStyle w:val="Normal"/>
        <w:shd w:fill="FFFFFF" w:val="clear"/>
        <w:spacing w:lineRule="exact" w:line="283" w:before="0" w:after="0"/>
        <w:ind w:left="9" w:right="0" w:hanging="0"/>
        <w:jc w:val="both"/>
      </w:pPr>
      <w:r>
        <w:rPr>
          <w:rStyle w:val="Tendersubject1"/>
          <w:rFonts w:eastAsia="Arial" w:cs="Times New Roman"/>
          <w:b w:val="false"/>
          <w:bCs w:val="false"/>
          <w:i w:val="false"/>
          <w:iCs w:val="false"/>
          <w:caps w:val="false"/>
          <w:smallCaps w:val="false"/>
          <w:color w:val="000000"/>
          <w:spacing w:val="1"/>
          <w:sz w:val="28"/>
          <w:szCs w:val="28"/>
          <w:u w:val="none"/>
          <w:shd w:fill="auto" w:val="clear"/>
          <w:lang w:val="ru-RU" w:eastAsia="en-US"/>
        </w:rPr>
        <w:tab/>
        <w:t>членов Комиссии:</w:t>
      </w:r>
      <w:r/>
    </w:p>
    <w:p>
      <w:pPr>
        <w:pStyle w:val="Normal"/>
        <w:shd w:fill="FFFFFF" w:val="clear"/>
        <w:spacing w:lineRule="exact" w:line="283" w:before="0" w:after="0"/>
        <w:ind w:left="32" w:right="0" w:hanging="0"/>
        <w:jc w:val="both"/>
      </w:pPr>
      <w:r>
        <w:rPr>
          <w:rStyle w:val="Tendersubject1"/>
          <w:rFonts w:eastAsia="Arial" w:cs="Times New Roman"/>
          <w:b w:val="false"/>
          <w:bCs w:val="false"/>
          <w:i w:val="false"/>
          <w:iCs w:val="false"/>
          <w:caps w:val="false"/>
          <w:smallCaps w:val="false"/>
          <w:color w:val="000000"/>
          <w:spacing w:val="1"/>
          <w:sz w:val="28"/>
          <w:szCs w:val="28"/>
          <w:u w:val="none"/>
          <w:shd w:fill="auto" w:val="clear"/>
          <w:lang w:val="ru-RU" w:eastAsia="en-US"/>
        </w:rPr>
        <w:t xml:space="preserve">  </w:t>
      </w:r>
      <w:r>
        <w:rPr>
          <w:rStyle w:val="Tendersubject1"/>
          <w:rFonts w:eastAsia="Arial" w:cs="Times New Roman"/>
          <w:b w:val="false"/>
          <w:bCs w:val="false"/>
          <w:i w:val="false"/>
          <w:iCs w:val="false"/>
          <w:caps w:val="false"/>
          <w:smallCaps w:val="false"/>
          <w:color w:val="000000"/>
          <w:spacing w:val="1"/>
          <w:sz w:val="28"/>
          <w:szCs w:val="28"/>
          <w:u w:val="none"/>
          <w:shd w:fill="auto" w:val="clear"/>
          <w:lang w:val="ru-RU" w:eastAsia="en-US"/>
        </w:rPr>
        <w:t xml:space="preserve">главного специалиста-эксперта отдела контроля за размещением государственного заказа  Гордуз А.В., </w:t>
      </w:r>
      <w:r/>
    </w:p>
    <w:p>
      <w:pPr>
        <w:pStyle w:val="Normal"/>
        <w:widowControl w:val="false"/>
        <w:shd w:fill="FFFFFF" w:val="clear"/>
        <w:tabs>
          <w:tab w:val="left" w:pos="9780" w:leader="none"/>
        </w:tabs>
        <w:suppressAutoHyphens w:val="true"/>
        <w:spacing w:lineRule="exact" w:line="283" w:before="0" w:after="0"/>
        <w:ind w:left="32" w:right="0" w:hanging="0"/>
        <w:jc w:val="both"/>
      </w:pPr>
      <w:r>
        <w:rPr>
          <w:rStyle w:val="Tendersubject1"/>
          <w:rFonts w:eastAsia="Arial" w:cs="Times New Roman"/>
          <w:b w:val="false"/>
          <w:bCs w:val="false"/>
          <w:i w:val="false"/>
          <w:iCs w:val="false"/>
          <w:caps w:val="false"/>
          <w:smallCaps w:val="false"/>
          <w:color w:val="000000"/>
          <w:spacing w:val="1"/>
          <w:sz w:val="28"/>
          <w:szCs w:val="28"/>
          <w:u w:val="none"/>
          <w:shd w:fill="auto" w:val="clear"/>
          <w:lang w:val="ru-RU" w:eastAsia="en-US"/>
        </w:rPr>
        <w:t xml:space="preserve">  </w:t>
      </w:r>
      <w:r>
        <w:rPr>
          <w:rStyle w:val="Tendersubject1"/>
          <w:rFonts w:eastAsia="Arial" w:cs="Times New Roman"/>
          <w:b w:val="false"/>
          <w:bCs w:val="false"/>
          <w:i w:val="false"/>
          <w:iCs w:val="false"/>
          <w:caps w:val="false"/>
          <w:smallCaps w:val="false"/>
          <w:color w:val="000000"/>
          <w:spacing w:val="1"/>
          <w:sz w:val="28"/>
          <w:szCs w:val="28"/>
          <w:u w:val="none"/>
          <w:shd w:fill="auto" w:val="clear"/>
          <w:lang w:val="ru-RU" w:eastAsia="en-US"/>
        </w:rPr>
        <w:t>главного специалиста-эксперта  отдела контроля за размещением государственного Гридиной Е.В.,</w:t>
      </w:r>
      <w:r/>
    </w:p>
    <w:p>
      <w:pPr>
        <w:pStyle w:val="Normal"/>
        <w:widowControl w:val="false"/>
        <w:shd w:fill="FFFFFF" w:val="clear"/>
        <w:tabs>
          <w:tab w:val="left" w:pos="9780" w:leader="none"/>
        </w:tabs>
        <w:suppressAutoHyphens w:val="true"/>
        <w:spacing w:lineRule="auto" w:line="240" w:before="0" w:after="0"/>
        <w:ind w:left="15" w:right="0" w:firstLine="600"/>
        <w:jc w:val="both"/>
      </w:pPr>
      <w:r>
        <w:rPr>
          <w:rFonts w:eastAsia="Times New Roman" w:cs="Times New Roman"/>
          <w:sz w:val="28"/>
          <w:szCs w:val="28"/>
          <w:shd w:fill="auto" w:val="clear"/>
          <w:lang w:eastAsia="ar-SA"/>
        </w:rPr>
        <w:t xml:space="preserve">на основании решения Комиссии </w:t>
      </w:r>
      <w:r>
        <w:rPr>
          <w:rFonts w:eastAsia="Times New Roman" w:cs="Times New Roman"/>
          <w:b w:val="false"/>
          <w:bCs w:val="false"/>
          <w:sz w:val="28"/>
          <w:szCs w:val="28"/>
          <w:shd w:fill="auto" w:val="clear"/>
          <w:lang w:eastAsia="ar-SA"/>
        </w:rPr>
        <w:t xml:space="preserve">от </w:t>
      </w:r>
      <w:r>
        <w:rPr>
          <w:rFonts w:eastAsia="Times New Roman" w:cs="Times New Roman"/>
          <w:b w:val="false"/>
          <w:bCs w:val="false"/>
          <w:color w:val="000000"/>
          <w:sz w:val="28"/>
          <w:szCs w:val="28"/>
          <w:shd w:fill="auto" w:val="clear"/>
          <w:lang w:eastAsia="ar-SA"/>
        </w:rPr>
        <w:t>28.11.2013</w:t>
      </w:r>
      <w:r>
        <w:rPr>
          <w:rFonts w:eastAsia="Times New Roman" w:cs="Times New Roman"/>
          <w:b w:val="false"/>
          <w:bCs w:val="false"/>
          <w:sz w:val="28"/>
          <w:szCs w:val="28"/>
          <w:shd w:fill="auto" w:val="clear"/>
          <w:lang w:eastAsia="ar-SA"/>
        </w:rPr>
        <w:t xml:space="preserve"> по делу </w:t>
      </w:r>
      <w:r>
        <w:rPr>
          <w:rFonts w:eastAsia="Times New Roman" w:cs="Times New Roman"/>
          <w:b w:val="false"/>
          <w:bCs w:val="false"/>
          <w:color w:val="000000"/>
          <w:sz w:val="28"/>
          <w:szCs w:val="28"/>
          <w:shd w:fill="auto" w:val="clear"/>
          <w:lang w:eastAsia="ar-SA"/>
        </w:rPr>
        <w:t>№2-57-6979/77-13</w:t>
      </w:r>
      <w:r>
        <w:rPr>
          <w:rFonts w:eastAsia="Times New Roman" w:cs="Times New Roman"/>
          <w:sz w:val="28"/>
          <w:szCs w:val="28"/>
          <w:shd w:fill="auto" w:val="clear"/>
          <w:lang w:eastAsia="ar-SA"/>
        </w:rPr>
        <w:t xml:space="preserve">, по итогам рассмотрения жалобы </w:t>
      </w:r>
      <w:r>
        <w:rPr>
          <w:rFonts w:eastAsia="Times New Roman" w:cs="Times New Roman"/>
          <w:b w:val="false"/>
          <w:bCs w:val="false"/>
          <w:i w:val="false"/>
          <w:iCs w:val="false"/>
          <w:color w:val="000000"/>
          <w:sz w:val="28"/>
          <w:szCs w:val="28"/>
          <w:shd w:fill="auto" w:val="clear"/>
          <w:lang w:val="ru-RU" w:eastAsia="ar-SA"/>
        </w:rPr>
        <w:t>ООО</w:t>
      </w:r>
      <w:r>
        <w:rPr>
          <w:rFonts w:eastAsia="Times-Bold" w:cs="Times-Bold" w:ascii="Times-Bold" w:hAnsi="Times-Bold"/>
          <w:b w:val="false"/>
          <w:bCs w:val="false"/>
          <w:i w:val="false"/>
          <w:iCs w:val="false"/>
          <w:color w:val="000000"/>
          <w:sz w:val="28"/>
          <w:szCs w:val="28"/>
          <w:shd w:fill="auto" w:val="clear"/>
          <w:lang w:val="ru-RU" w:eastAsia="ar-SA"/>
        </w:rPr>
        <w:t xml:space="preserve"> «ИКАНД» (далее - Заявитель)</w:t>
      </w:r>
      <w:r>
        <w:rPr>
          <w:rFonts w:eastAsia="Times New Roman" w:cs="Times New Roman"/>
          <w:b w:val="false"/>
          <w:bCs w:val="false"/>
          <w:color w:val="000000"/>
          <w:sz w:val="28"/>
          <w:szCs w:val="28"/>
          <w:shd w:fill="auto" w:val="clear"/>
          <w:lang w:val="ru-RU" w:eastAsia="ar-SA"/>
        </w:rPr>
        <w:t xml:space="preserve"> на действия </w:t>
      </w:r>
      <w:r>
        <w:rPr>
          <w:rFonts w:eastAsia="Times-Roman" w:cs="Times-Roman"/>
          <w:b w:val="false"/>
          <w:bCs w:val="false"/>
          <w:color w:val="000000"/>
          <w:sz w:val="28"/>
          <w:szCs w:val="28"/>
          <w:shd w:fill="auto" w:val="clear"/>
          <w:lang w:val="ru-RU" w:eastAsia="ar-SA"/>
        </w:rPr>
        <w:t xml:space="preserve">Государственного бюджетного учреждения культуры города Москвы "Московский академический Музыкальный театр имени народных артистов К. С. Станиславского и Вл. И. Немировича-Данченко" </w:t>
      </w:r>
      <w:r>
        <w:rPr>
          <w:rFonts w:eastAsia="Times New Roman" w:cs="Times New Roman"/>
          <w:b w:val="false"/>
          <w:bCs w:val="false"/>
          <w:color w:val="000000"/>
          <w:sz w:val="28"/>
          <w:szCs w:val="28"/>
          <w:shd w:fill="auto" w:val="clear"/>
          <w:lang w:val="ru-RU" w:eastAsia="ar-SA"/>
        </w:rPr>
        <w:t>(далее — Заказчик) при проведении открытого аукциона в электронной форме на право заключения контракта на оказание услуг по техническому обслуживанию комплекса силовых устройств и их систем управления для ГБУК г. Москвы «МАМТ» (Заказ №0373200008413000063)</w:t>
      </w:r>
      <w:r>
        <w:rPr>
          <w:rFonts w:eastAsia="Times New Roman" w:cs="Times New Roman"/>
          <w:sz w:val="28"/>
          <w:szCs w:val="28"/>
          <w:shd w:fill="auto" w:val="clear"/>
          <w:lang w:eastAsia="ar-SA"/>
        </w:rPr>
        <w:t xml:space="preserve">(далее — Аукцион), </w:t>
      </w:r>
      <w:r>
        <w:rPr>
          <w:rFonts w:eastAsia="Times New Roman" w:cs="Times New Roman"/>
          <w:color w:val="000000"/>
          <w:sz w:val="28"/>
          <w:szCs w:val="28"/>
          <w:shd w:fill="auto" w:val="clear"/>
          <w:lang w:eastAsia="ar-SA"/>
        </w:rPr>
        <w:t xml:space="preserve">в соответствии с </w:t>
      </w:r>
      <w:r>
        <w:rPr>
          <w:rFonts w:eastAsia="Arial" w:cs="Arial"/>
          <w:color w:val="000000"/>
          <w:sz w:val="28"/>
          <w:szCs w:val="28"/>
          <w:shd w:fill="auto" w:val="clear"/>
          <w:lang w:eastAsia="ar-SA"/>
        </w:rPr>
        <w:t>Приказом ФАС России от 24.07.2012 №498 «Об утверждении 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специализированной организации, конкурсной, аукционной или котировочной комиссии при размещении заказа на поставку товара, выполнение работ, оказание услуг для государственных и муниципальных нужд» (далее — Административный регламент)</w:t>
      </w:r>
      <w:r>
        <w:rPr>
          <w:rFonts w:eastAsia="Times New Roman" w:cs="Times New Roman"/>
          <w:color w:val="000000"/>
          <w:sz w:val="28"/>
          <w:szCs w:val="28"/>
          <w:shd w:fill="auto" w:val="clear"/>
          <w:lang w:eastAsia="ar-SA"/>
        </w:rPr>
        <w:t>,</w:t>
      </w:r>
      <w:r/>
    </w:p>
    <w:p>
      <w:pPr>
        <w:pStyle w:val="Normal"/>
        <w:widowControl w:val="false"/>
        <w:shd w:fill="FFFFFF" w:val="clear"/>
        <w:tabs>
          <w:tab w:val="left" w:pos="9780" w:leader="none"/>
        </w:tabs>
        <w:suppressAutoHyphens w:val="true"/>
        <w:spacing w:lineRule="auto" w:line="240" w:before="0" w:after="0"/>
        <w:ind w:left="15" w:right="0" w:firstLine="600"/>
        <w:jc w:val="center"/>
        <w:rPr>
          <w:sz w:val="28"/>
          <w:b/>
          <w:shd w:fill="auto" w:val="clear"/>
          <w:sz w:val="28"/>
          <w:b/>
          <w:szCs w:val="28"/>
          <w:bCs/>
          <w:rFonts w:ascii="Times New Roman" w:hAnsi="Times New Roman" w:eastAsia="Times New Roman" w:cs="Times New Roman"/>
          <w:color w:val="000000"/>
          <w:lang w:eastAsia="ar-SA"/>
        </w:rPr>
      </w:pPr>
      <w:r>
        <w:rPr>
          <w:rFonts w:eastAsia="Times New Roman" w:cs="Times New Roman"/>
          <w:b/>
          <w:bCs/>
          <w:color w:val="000000"/>
          <w:sz w:val="28"/>
          <w:szCs w:val="28"/>
          <w:shd w:fill="auto" w:val="clear"/>
          <w:lang w:eastAsia="ar-SA"/>
        </w:rPr>
        <w:t>ПРЕДПИСЫВАЕТ:</w:t>
      </w:r>
      <w:r/>
    </w:p>
    <w:p>
      <w:pPr>
        <w:pStyle w:val="Normal"/>
        <w:widowControl w:val="false"/>
        <w:shd w:fill="FFFFFF" w:val="clear"/>
        <w:tabs>
          <w:tab w:val="left" w:pos="9780" w:leader="none"/>
        </w:tabs>
        <w:suppressAutoHyphens w:val="true"/>
        <w:spacing w:lineRule="auto" w:line="240" w:before="0" w:after="0"/>
        <w:ind w:left="15" w:right="0" w:firstLine="600"/>
        <w:jc w:val="center"/>
        <w:rPr>
          <w:sz w:val="28"/>
          <w:b/>
          <w:shd w:fill="auto" w:val="clear"/>
          <w:sz w:val="28"/>
          <w:b/>
          <w:szCs w:val="28"/>
          <w:bCs/>
          <w:rFonts w:ascii="Times New Roman" w:hAnsi="Times New Roman" w:eastAsia="Times New Roman" w:cs="Times New Roman"/>
          <w:color w:val="000000"/>
          <w:lang w:eastAsia="ar-SA"/>
        </w:rPr>
      </w:pPr>
      <w:r>
        <w:rPr>
          <w:rFonts w:eastAsia="Times New Roman" w:cs="Times New Roman"/>
          <w:b/>
          <w:bCs/>
          <w:color w:val="000000"/>
          <w:sz w:val="28"/>
          <w:szCs w:val="28"/>
          <w:shd w:fill="auto" w:val="clear"/>
          <w:lang w:eastAsia="ar-SA"/>
        </w:rPr>
      </w:r>
      <w:r/>
    </w:p>
    <w:p>
      <w:pPr>
        <w:pStyle w:val="Style18"/>
        <w:numPr>
          <w:ilvl w:val="0"/>
          <w:numId w:val="4"/>
        </w:numPr>
        <w:tabs>
          <w:tab w:val="left" w:pos="1215" w:leader="none"/>
        </w:tabs>
        <w:suppressAutoHyphens w:val="true"/>
        <w:spacing w:lineRule="auto" w:line="240" w:before="0" w:after="0"/>
        <w:ind w:left="0" w:right="0" w:firstLine="870"/>
        <w:jc w:val="both"/>
        <w:rPr>
          <w:sz w:val="28"/>
          <w:shd w:fill="auto" w:val="clear"/>
          <w:sz w:val="28"/>
          <w:szCs w:val="28"/>
          <w:rFonts w:ascii="Times New Roman" w:hAnsi="Times New Roman" w:eastAsia="Times New Roman" w:cs="Times New Roman"/>
          <w:color w:val="000000"/>
          <w:lang w:eastAsia="ar-SA"/>
        </w:rPr>
      </w:pPr>
      <w:r>
        <w:rPr>
          <w:rFonts w:eastAsia="Times New Roman" w:cs="Times New Roman"/>
          <w:color w:val="000000"/>
          <w:sz w:val="28"/>
          <w:szCs w:val="28"/>
          <w:shd w:fill="auto" w:val="clear"/>
          <w:lang w:eastAsia="ar-SA"/>
        </w:rPr>
        <w:t>Заказчику, Аукционной комиссии отменить Протокол подведения итогов, Протокол рассмотрения первых частей заявок на участие в Аукционе (далее – Протоколы).</w:t>
      </w:r>
      <w:r/>
    </w:p>
    <w:p>
      <w:pPr>
        <w:pStyle w:val="Style18"/>
        <w:numPr>
          <w:ilvl w:val="0"/>
          <w:numId w:val="4"/>
        </w:numPr>
        <w:tabs>
          <w:tab w:val="left" w:pos="1215" w:leader="none"/>
        </w:tabs>
        <w:suppressAutoHyphens w:val="true"/>
        <w:spacing w:lineRule="auto" w:line="240" w:before="0" w:after="0"/>
        <w:ind w:left="0" w:right="0" w:firstLine="870"/>
        <w:jc w:val="both"/>
      </w:pPr>
      <w:r>
        <w:rPr>
          <w:sz w:val="28"/>
          <w:shd w:fill="auto" w:val="clear"/>
        </w:rPr>
        <w:t>Оператору электронной площадки не позднее 1 рабочего дня со дня исполнения пункта 1 настоящего предписания:</w:t>
      </w:r>
      <w:r/>
    </w:p>
    <w:p>
      <w:pPr>
        <w:pStyle w:val="Style18"/>
        <w:tabs>
          <w:tab w:val="left" w:pos="1215" w:leader="none"/>
        </w:tabs>
        <w:spacing w:lineRule="auto" w:line="240" w:before="0" w:after="0"/>
        <w:ind w:left="0" w:right="0" w:firstLine="870"/>
        <w:jc w:val="both"/>
      </w:pPr>
      <w:r>
        <w:rPr>
          <w:rFonts w:ascii="Symbol" w:hAnsi="Symbol"/>
          <w:sz w:val="28"/>
          <w:shd w:fill="auto" w:val="clear"/>
        </w:rPr>
        <w:t>-</w:t>
      </w:r>
      <w:r>
        <w:rPr>
          <w:rFonts w:ascii="Symbol" w:hAnsi="Symbol"/>
          <w:caps w:val="false"/>
          <w:smallCaps w:val="false"/>
          <w:sz w:val="28"/>
          <w:shd w:fill="auto" w:val="clear"/>
        </w:rPr>
        <w:t xml:space="preserve"> </w:t>
      </w:r>
      <w:r>
        <w:rPr>
          <w:sz w:val="28"/>
          <w:shd w:fill="auto" w:val="clear"/>
        </w:rPr>
        <w:t xml:space="preserve">отменить </w:t>
      </w:r>
      <w:r>
        <w:rPr>
          <w:strike w:val="false"/>
          <w:dstrike w:val="false"/>
          <w:sz w:val="28"/>
          <w:u w:val="none"/>
          <w:effect w:val="none"/>
          <w:shd w:fill="auto" w:val="clear"/>
          <w:lang w:val="ru-RU"/>
        </w:rPr>
        <w:t>протокол проведения Аукциона</w:t>
      </w:r>
      <w:r>
        <w:rPr>
          <w:sz w:val="28"/>
          <w:shd w:fill="auto" w:val="clear"/>
        </w:rPr>
        <w:t>;</w:t>
      </w:r>
      <w:r/>
    </w:p>
    <w:p>
      <w:pPr>
        <w:pStyle w:val="Style18"/>
        <w:tabs>
          <w:tab w:val="left" w:pos="1215" w:leader="none"/>
        </w:tabs>
        <w:spacing w:lineRule="auto" w:line="240" w:before="0" w:after="0"/>
        <w:ind w:left="0" w:right="0" w:firstLine="870"/>
        <w:jc w:val="both"/>
      </w:pPr>
      <w:r>
        <w:rPr>
          <w:rFonts w:ascii="Symbol" w:hAnsi="Symbol"/>
          <w:sz w:val="28"/>
          <w:shd w:fill="auto" w:val="clear"/>
        </w:rPr>
        <w:t>-</w:t>
      </w:r>
      <w:r>
        <w:rPr>
          <w:rFonts w:ascii="Symbol" w:hAnsi="Symbol"/>
          <w:caps w:val="false"/>
          <w:smallCaps w:val="false"/>
          <w:sz w:val="28"/>
          <w:shd w:fill="auto" w:val="clear"/>
        </w:rPr>
        <w:t xml:space="preserve"> </w:t>
      </w:r>
      <w:r>
        <w:rPr>
          <w:sz w:val="28"/>
          <w:shd w:fill="auto" w:val="clear"/>
        </w:rPr>
        <w:t>вернуть участникам размещения заказа ранее поданные заявки на участие в Аукционе;</w:t>
      </w:r>
      <w:r/>
    </w:p>
    <w:p>
      <w:pPr>
        <w:pStyle w:val="Style18"/>
        <w:tabs>
          <w:tab w:val="left" w:pos="1215" w:leader="none"/>
        </w:tabs>
        <w:spacing w:lineRule="auto" w:line="240" w:before="0" w:after="0"/>
        <w:ind w:left="0" w:right="0" w:firstLine="870"/>
        <w:jc w:val="both"/>
      </w:pPr>
      <w:r>
        <w:rPr>
          <w:rFonts w:ascii="Symbol" w:hAnsi="Symbol"/>
          <w:sz w:val="28"/>
          <w:shd w:fill="auto" w:val="clear"/>
        </w:rPr>
        <w:t>-</w:t>
      </w:r>
      <w:r>
        <w:rPr>
          <w:rFonts w:ascii="Symbol" w:hAnsi="Symbol"/>
          <w:caps w:val="false"/>
          <w:smallCaps w:val="false"/>
          <w:sz w:val="28"/>
          <w:shd w:fill="auto" w:val="clear"/>
        </w:rPr>
        <w:t xml:space="preserve"> </w:t>
      </w:r>
      <w:r>
        <w:rPr>
          <w:sz w:val="28"/>
          <w:shd w:fill="auto" w:val="clear"/>
        </w:rPr>
        <w:t>уведомить участников размещения заказа, подавших заявки на участие в Аукционе, в том числе Заявителя, об отмене Протоколов, Протокола проведения Аукциона, о прекращении действия заявок, поданных на участие в Аукционе, и о возможности подать новые заявки на участие в Аукционе;</w:t>
      </w:r>
      <w:r/>
    </w:p>
    <w:p>
      <w:pPr>
        <w:pStyle w:val="Style18"/>
        <w:tabs>
          <w:tab w:val="left" w:pos="1215" w:leader="none"/>
        </w:tabs>
        <w:spacing w:lineRule="auto" w:line="240" w:before="0" w:after="0"/>
        <w:ind w:left="0" w:right="0" w:firstLine="870"/>
        <w:jc w:val="both"/>
      </w:pPr>
      <w:r>
        <w:rPr>
          <w:rFonts w:ascii="Symbol" w:hAnsi="Symbol"/>
          <w:sz w:val="28"/>
          <w:shd w:fill="auto" w:val="clear"/>
        </w:rPr>
        <w:t>-</w:t>
      </w:r>
      <w:r>
        <w:rPr>
          <w:rFonts w:ascii="Symbol" w:hAnsi="Symbol"/>
          <w:caps w:val="false"/>
          <w:smallCaps w:val="false"/>
          <w:sz w:val="28"/>
          <w:shd w:fill="auto" w:val="clear"/>
        </w:rPr>
        <w:t xml:space="preserve"> </w:t>
      </w:r>
      <w:r>
        <w:rPr>
          <w:sz w:val="28"/>
          <w:shd w:fill="auto" w:val="clear"/>
        </w:rPr>
        <w:t>прекратить блокирование операций по счетам для проведения операций по обеспечению участия в открытых аукционах в электронной форме, открытых участникам размещения заказа, подавшим заявки на участие в Аукционе, в отношении денежных средств в размере обеспечения заявки на участие в Аукционе.</w:t>
      </w:r>
      <w:r/>
    </w:p>
    <w:p>
      <w:pPr>
        <w:pStyle w:val="Style18"/>
        <w:tabs>
          <w:tab w:val="left" w:pos="1215" w:leader="none"/>
        </w:tabs>
        <w:spacing w:lineRule="auto" w:line="240" w:before="0" w:after="0"/>
        <w:ind w:left="0" w:right="0" w:firstLine="870"/>
      </w:pPr>
      <w:r>
        <w:rPr>
          <w:sz w:val="28"/>
          <w:shd w:fill="auto" w:val="clear"/>
        </w:rPr>
        <w:t>3.</w:t>
      </w:r>
      <w:r>
        <w:rPr>
          <w:caps w:val="false"/>
          <w:smallCaps w:val="false"/>
          <w:sz w:val="28"/>
          <w:shd w:fill="auto" w:val="clear"/>
        </w:rPr>
        <w:t xml:space="preserve"> </w:t>
      </w:r>
      <w:r>
        <w:rPr>
          <w:sz w:val="28"/>
          <w:shd w:fill="auto" w:val="clear"/>
        </w:rPr>
        <w:t>Заказчику:</w:t>
      </w:r>
      <w:r/>
    </w:p>
    <w:p>
      <w:pPr>
        <w:pStyle w:val="Style18"/>
        <w:tabs>
          <w:tab w:val="left" w:pos="1215" w:leader="none"/>
        </w:tabs>
        <w:spacing w:lineRule="auto" w:line="240" w:before="0" w:after="0"/>
        <w:ind w:left="0" w:right="0" w:firstLine="870"/>
        <w:jc w:val="both"/>
      </w:pPr>
      <w:r>
        <w:rPr>
          <w:rFonts w:ascii="Symbol" w:hAnsi="Symbol"/>
          <w:sz w:val="28"/>
          <w:shd w:fill="auto" w:val="clear"/>
        </w:rPr>
        <w:t>-</w:t>
      </w:r>
      <w:r>
        <w:rPr>
          <w:rFonts w:ascii="Symbol" w:hAnsi="Symbol"/>
          <w:caps w:val="false"/>
          <w:smallCaps w:val="false"/>
          <w:sz w:val="28"/>
          <w:shd w:fill="auto" w:val="clear"/>
        </w:rPr>
        <w:t xml:space="preserve"> </w:t>
      </w:r>
      <w:r>
        <w:rPr>
          <w:sz w:val="28"/>
          <w:shd w:fill="auto" w:val="clear"/>
        </w:rPr>
        <w:t xml:space="preserve">привести документацию об Аукционе в соответствие с требованиями Закона о размещении заказов и с учетом решения </w:t>
      </w:r>
      <w:r>
        <w:rPr>
          <w:rFonts w:eastAsia="Times New Roman" w:cs="Times New Roman"/>
          <w:b w:val="false"/>
          <w:bCs w:val="false"/>
          <w:sz w:val="28"/>
          <w:szCs w:val="28"/>
          <w:shd w:fill="auto" w:val="clear"/>
          <w:lang w:eastAsia="ar-SA"/>
        </w:rPr>
        <w:t xml:space="preserve">от </w:t>
      </w:r>
      <w:r>
        <w:rPr>
          <w:rFonts w:eastAsia="Times New Roman" w:cs="Times New Roman"/>
          <w:b w:val="false"/>
          <w:bCs w:val="false"/>
          <w:color w:val="000000"/>
          <w:sz w:val="28"/>
          <w:szCs w:val="28"/>
          <w:shd w:fill="auto" w:val="clear"/>
          <w:lang w:eastAsia="ar-SA"/>
        </w:rPr>
        <w:t>28.11.2013</w:t>
      </w:r>
      <w:r>
        <w:rPr>
          <w:rFonts w:eastAsia="Times New Roman" w:cs="Times New Roman"/>
          <w:b w:val="false"/>
          <w:bCs w:val="false"/>
          <w:sz w:val="28"/>
          <w:szCs w:val="28"/>
          <w:shd w:fill="auto" w:val="clear"/>
          <w:lang w:eastAsia="ar-SA"/>
        </w:rPr>
        <w:t xml:space="preserve"> по делу </w:t>
      </w:r>
      <w:r>
        <w:rPr>
          <w:rFonts w:eastAsia="Times New Roman" w:cs="Times New Roman"/>
          <w:b w:val="false"/>
          <w:bCs w:val="false"/>
          <w:color w:val="000000"/>
          <w:sz w:val="28"/>
          <w:szCs w:val="28"/>
          <w:shd w:fill="auto" w:val="clear"/>
          <w:lang w:eastAsia="ar-SA"/>
        </w:rPr>
        <w:t>№2-57-6979/77-13</w:t>
      </w:r>
      <w:r>
        <w:rPr>
          <w:rFonts w:eastAsia="Times New Roman" w:cs="Times New Roman"/>
          <w:color w:val="000000"/>
          <w:sz w:val="28"/>
          <w:szCs w:val="28"/>
          <w:shd w:fill="auto" w:val="clear"/>
          <w:lang w:eastAsia="ar-SA"/>
        </w:rPr>
        <w:t xml:space="preserve"> </w:t>
      </w:r>
      <w:r>
        <w:rPr>
          <w:sz w:val="28"/>
          <w:shd w:fill="auto" w:val="clear"/>
        </w:rPr>
        <w:t>и разместить соответствующую документацию на Официальном сайте;</w:t>
      </w:r>
      <w:r/>
    </w:p>
    <w:p>
      <w:pPr>
        <w:pStyle w:val="Style18"/>
        <w:tabs>
          <w:tab w:val="left" w:pos="1215" w:leader="none"/>
        </w:tabs>
        <w:spacing w:lineRule="auto" w:line="240" w:before="0" w:after="0"/>
        <w:ind w:left="0" w:right="0" w:firstLine="870"/>
        <w:jc w:val="both"/>
      </w:pPr>
      <w:r>
        <w:rPr>
          <w:rFonts w:ascii="Symbol" w:hAnsi="Symbol"/>
          <w:sz w:val="28"/>
          <w:shd w:fill="auto" w:val="clear"/>
        </w:rPr>
        <w:t>-</w:t>
      </w:r>
      <w:r>
        <w:rPr>
          <w:rFonts w:ascii="Symbol" w:hAnsi="Symbol"/>
          <w:caps w:val="false"/>
          <w:smallCaps w:val="false"/>
          <w:sz w:val="28"/>
          <w:shd w:fill="auto" w:val="clear"/>
        </w:rPr>
        <w:t xml:space="preserve"> </w:t>
      </w:r>
      <w:r>
        <w:rPr>
          <w:sz w:val="28"/>
          <w:shd w:fill="auto" w:val="clear"/>
        </w:rPr>
        <w:t>назначить новую дату окончания срока подачи заявок на участие в Аукционе, дату рассмотрения первых частей заявок на участие в Аукционе, дату проведения Аукциона, а также разместить на Официальном сайте информацию о новой дате окончания срока подачи заявок на участие в Аукционе, дате рассмотрения первых частей заявок на участие в Аукционе и дате проведения Аукциона. При этом дата окончания срока подачи заявок на участие в Аукционе должна быть назначена не ранее чем через 15 дней со дня размещения на Официальном сайте соответствующей документации об Аукционе.</w:t>
      </w:r>
      <w:r/>
    </w:p>
    <w:p>
      <w:pPr>
        <w:pStyle w:val="Style18"/>
        <w:tabs>
          <w:tab w:val="left" w:pos="1215" w:leader="none"/>
        </w:tabs>
        <w:spacing w:lineRule="auto" w:line="240" w:before="0" w:after="0"/>
        <w:ind w:left="0" w:right="0" w:firstLine="870"/>
      </w:pPr>
      <w:r>
        <w:rPr>
          <w:sz w:val="28"/>
          <w:shd w:fill="auto" w:val="clear"/>
        </w:rPr>
        <w:t>4.</w:t>
      </w:r>
      <w:r>
        <w:rPr>
          <w:caps w:val="false"/>
          <w:smallCaps w:val="false"/>
          <w:sz w:val="28"/>
          <w:shd w:fill="auto" w:val="clear"/>
        </w:rPr>
        <w:t xml:space="preserve"> </w:t>
      </w:r>
      <w:r>
        <w:rPr>
          <w:sz w:val="28"/>
          <w:shd w:fill="auto" w:val="clear"/>
        </w:rPr>
        <w:t>Оператору электронной площадки не позднее 1 рабочего дня со дня исполнения пункта 3 настоящего предписания:</w:t>
      </w:r>
      <w:r/>
    </w:p>
    <w:p>
      <w:pPr>
        <w:pStyle w:val="Style18"/>
        <w:tabs>
          <w:tab w:val="left" w:pos="1215" w:leader="none"/>
        </w:tabs>
        <w:spacing w:lineRule="auto" w:line="240" w:before="0" w:after="0"/>
        <w:ind w:left="0" w:right="0" w:firstLine="870"/>
        <w:jc w:val="both"/>
      </w:pPr>
      <w:r>
        <w:rPr>
          <w:rFonts w:ascii="Symbol" w:hAnsi="Symbol"/>
          <w:sz w:val="28"/>
          <w:shd w:fill="auto" w:val="clear"/>
        </w:rPr>
        <w:t>-</w:t>
      </w:r>
      <w:r>
        <w:rPr>
          <w:rFonts w:ascii="Symbol" w:hAnsi="Symbol"/>
          <w:caps w:val="false"/>
          <w:smallCaps w:val="false"/>
          <w:sz w:val="28"/>
          <w:shd w:fill="auto" w:val="clear"/>
        </w:rPr>
        <w:t xml:space="preserve"> </w:t>
      </w:r>
      <w:r>
        <w:rPr>
          <w:sz w:val="28"/>
          <w:shd w:fill="auto" w:val="clear"/>
        </w:rPr>
        <w:t xml:space="preserve">назначить время проведения Аукциона и разместить на электронной площадке информацию о времени проведения Аукциона; </w:t>
      </w:r>
      <w:r/>
    </w:p>
    <w:p>
      <w:pPr>
        <w:pStyle w:val="Style18"/>
        <w:numPr>
          <w:ilvl w:val="0"/>
          <w:numId w:val="5"/>
        </w:numPr>
        <w:tabs>
          <w:tab w:val="left" w:pos="1215" w:leader="none"/>
        </w:tabs>
        <w:spacing w:lineRule="auto" w:line="240" w:before="0" w:after="0"/>
        <w:ind w:left="0" w:right="0" w:firstLine="870"/>
        <w:jc w:val="both"/>
        <w:rPr>
          <w:sz w:val="28"/>
          <w:shd w:fill="auto" w:val="clear"/>
          <w:color w:val="auto"/>
        </w:rPr>
      </w:pPr>
      <w:r>
        <w:rPr>
          <w:sz w:val="28"/>
          <w:shd w:fill="auto" w:val="clear"/>
        </w:rPr>
        <w:t>уведомить участников размещения заказа, подавших заявки на участие в Аукционе, в том числе Заявителя, о новой дате окончания срока подачи заявок на участие в Аукционе, дате рассмотрения первых частей заявок на участие в Аукционе, дате и времени проведения Аукциона, а также о возможности подать новые заявки на участие в Аукционе.</w:t>
      </w:r>
      <w:r/>
    </w:p>
    <w:p>
      <w:pPr>
        <w:pStyle w:val="Style18"/>
        <w:numPr>
          <w:ilvl w:val="1"/>
          <w:numId w:val="6"/>
        </w:numPr>
        <w:tabs>
          <w:tab w:val="left" w:pos="1215" w:leader="none"/>
        </w:tabs>
        <w:spacing w:lineRule="auto" w:line="240" w:before="0" w:after="0"/>
        <w:ind w:left="0" w:right="0" w:firstLine="870"/>
        <w:jc w:val="both"/>
      </w:pPr>
      <w:r>
        <w:rPr>
          <w:rFonts w:eastAsia="Times New Roman" w:cs="Times New Roman"/>
          <w:sz w:val="28"/>
          <w:szCs w:val="28"/>
          <w:shd w:fill="auto" w:val="clear"/>
          <w:lang w:eastAsia="ar-SA"/>
        </w:rPr>
        <w:t>Заказчик</w:t>
      </w:r>
      <w:bookmarkStart w:id="0" w:name="_GoBack"/>
      <w:bookmarkEnd w:id="0"/>
      <w:r>
        <w:rPr>
          <w:rFonts w:eastAsia="Times New Roman" w:cs="Times New Roman"/>
          <w:sz w:val="28"/>
          <w:szCs w:val="28"/>
          <w:shd w:fill="auto" w:val="clear"/>
          <w:lang w:eastAsia="ar-SA"/>
        </w:rPr>
        <w:t xml:space="preserve">у, Аукционной комиссии, Оператору электронной площадки осуществить дальнейшее проведение процедуры размещения заказа в соответствии с требованиями законодательства Российской Федерации о размещении заказов и с учетом решения Московского УФАС России </w:t>
      </w:r>
      <w:r>
        <w:rPr>
          <w:rFonts w:eastAsia="Times New Roman" w:cs="Times New Roman"/>
          <w:b w:val="false"/>
          <w:bCs w:val="false"/>
          <w:sz w:val="28"/>
          <w:szCs w:val="28"/>
          <w:shd w:fill="auto" w:val="clear"/>
          <w:lang w:eastAsia="ar-SA"/>
        </w:rPr>
        <w:t xml:space="preserve">от </w:t>
      </w:r>
      <w:r>
        <w:rPr>
          <w:rFonts w:eastAsia="Times New Roman" w:cs="Times New Roman"/>
          <w:b w:val="false"/>
          <w:bCs w:val="false"/>
          <w:color w:val="000000"/>
          <w:sz w:val="28"/>
          <w:szCs w:val="28"/>
          <w:shd w:fill="auto" w:val="clear"/>
          <w:lang w:eastAsia="ar-SA"/>
        </w:rPr>
        <w:t>28.11.2013</w:t>
      </w:r>
      <w:r>
        <w:rPr>
          <w:rFonts w:eastAsia="Times New Roman" w:cs="Times New Roman"/>
          <w:b w:val="false"/>
          <w:bCs w:val="false"/>
          <w:sz w:val="28"/>
          <w:szCs w:val="28"/>
          <w:shd w:fill="auto" w:val="clear"/>
          <w:lang w:eastAsia="ar-SA"/>
        </w:rPr>
        <w:t xml:space="preserve"> по делу </w:t>
      </w:r>
      <w:r>
        <w:rPr>
          <w:rFonts w:eastAsia="Times New Roman" w:cs="Times New Roman"/>
          <w:b w:val="false"/>
          <w:bCs w:val="false"/>
          <w:color w:val="000000"/>
          <w:sz w:val="28"/>
          <w:szCs w:val="28"/>
          <w:shd w:fill="auto" w:val="clear"/>
          <w:lang w:eastAsia="ar-SA"/>
        </w:rPr>
        <w:t>№2-57-6979/77-13</w:t>
      </w:r>
      <w:r>
        <w:rPr>
          <w:rFonts w:eastAsia="Times New Roman" w:cs="Times New Roman"/>
          <w:color w:val="000000"/>
          <w:sz w:val="28"/>
          <w:szCs w:val="28"/>
          <w:shd w:fill="auto" w:val="clear"/>
          <w:lang w:eastAsia="ar-SA"/>
        </w:rPr>
        <w:t>.</w:t>
      </w:r>
      <w:r/>
    </w:p>
    <w:p>
      <w:pPr>
        <w:pStyle w:val="Style18"/>
        <w:numPr>
          <w:ilvl w:val="1"/>
          <w:numId w:val="6"/>
        </w:numPr>
        <w:tabs>
          <w:tab w:val="left" w:pos="1215" w:leader="none"/>
        </w:tabs>
        <w:spacing w:lineRule="auto" w:line="240" w:before="0" w:after="0"/>
        <w:ind w:left="0" w:right="0" w:firstLine="870"/>
        <w:jc w:val="both"/>
      </w:pPr>
      <w:r>
        <w:rPr>
          <w:rFonts w:eastAsia="Times New Roman" w:cs="Times New Roman"/>
          <w:sz w:val="28"/>
          <w:szCs w:val="28"/>
          <w:shd w:fill="auto" w:val="clear"/>
          <w:lang w:eastAsia="ar-SA"/>
        </w:rPr>
        <w:t xml:space="preserve">Заказчику, Аукционной комиссии, Оператору электронной площадки в срок </w:t>
      </w:r>
      <w:r>
        <w:rPr>
          <w:color w:val="000000"/>
          <w:sz w:val="28"/>
          <w:szCs w:val="28"/>
          <w:shd w:fill="auto" w:val="clear"/>
        </w:rPr>
        <w:t>до 20.12.2013 представить в Московское УФАС России подтверждение исполнения настоящ</w:t>
      </w:r>
      <w:r>
        <w:rPr>
          <w:color w:val="000000"/>
          <w:sz w:val="28"/>
          <w:szCs w:val="28"/>
        </w:rPr>
        <w:t xml:space="preserve">его предписания в письменном виде, а также по факсимильной связи </w:t>
      </w:r>
      <w:r>
        <w:rPr>
          <w:color w:val="000000"/>
          <w:sz w:val="28"/>
          <w:szCs w:val="28"/>
        </w:rPr>
        <w:t>(8(495) 607-42-92</w:t>
      </w:r>
      <w:r>
        <w:rPr>
          <w:color w:val="000000"/>
          <w:sz w:val="28"/>
          <w:szCs w:val="28"/>
        </w:rPr>
        <w:t xml:space="preserve">) или электронной почте по адресу: </w:t>
      </w:r>
      <w:hyperlink r:id="rId2">
        <w:r>
          <w:rPr>
            <w:rStyle w:val="Style14"/>
            <w:sz w:val="28"/>
            <w:szCs w:val="28"/>
          </w:rPr>
          <w:t>to77@fas.gov.ru</w:t>
        </w:r>
      </w:hyperlink>
      <w:r>
        <w:rPr>
          <w:color w:val="000000"/>
          <w:sz w:val="28"/>
          <w:szCs w:val="28"/>
        </w:rPr>
        <w:t>.</w:t>
      </w:r>
      <w:r/>
    </w:p>
    <w:p>
      <w:pPr>
        <w:pStyle w:val="Style18"/>
        <w:tabs>
          <w:tab w:val="left" w:pos="1215" w:leader="none"/>
        </w:tabs>
        <w:spacing w:lineRule="auto" w:line="240" w:before="0" w:after="0"/>
        <w:ind w:left="0" w:right="0" w:firstLine="870"/>
        <w:jc w:val="both"/>
        <w:rPr>
          <w:sz w:val="28"/>
          <w:sz w:val="28"/>
          <w:szCs w:val="28"/>
          <w:color w:val="000000"/>
        </w:rPr>
      </w:pPr>
      <w:r>
        <w:rPr>
          <w:color w:val="000000"/>
          <w:sz w:val="28"/>
          <w:szCs w:val="28"/>
        </w:rPr>
      </w:r>
      <w:r/>
    </w:p>
    <w:p>
      <w:pPr>
        <w:pStyle w:val="Style18"/>
        <w:tabs>
          <w:tab w:val="left" w:pos="1215" w:leader="none"/>
        </w:tabs>
        <w:spacing w:lineRule="auto" w:line="240" w:before="0" w:after="0"/>
        <w:ind w:left="0" w:right="0" w:firstLine="870"/>
        <w:jc w:val="both"/>
      </w:pPr>
      <w:r>
        <w:rPr>
          <w:color w:val="000000"/>
          <w:sz w:val="28"/>
          <w:szCs w:val="28"/>
        </w:rPr>
        <w:t xml:space="preserve">Невыполнение в установленный срок предписания </w:t>
      </w:r>
      <w:r>
        <w:rPr>
          <w:sz w:val="28"/>
          <w:szCs w:val="28"/>
        </w:rPr>
        <w:t xml:space="preserve">органа исполнительной власти, уполномоченного на осуществление контроля в сфере размещения заказов на поставки товаров, выполнение работ, оказание услуг для государственных или муниципальных нужд, его территориального органа </w:t>
      </w:r>
      <w:r>
        <w:rPr>
          <w:color w:val="000000"/>
          <w:sz w:val="28"/>
          <w:szCs w:val="28"/>
        </w:rPr>
        <w:t> влечет наложение административного штрафа на должностных лиц в размере пятидесяти тысяч рублей в соответствии с п.7 ст.19.5 Кодекса Российской Федерации об административных правонарушениях.</w:t>
      </w:r>
      <w:r/>
    </w:p>
    <w:p>
      <w:pPr>
        <w:pStyle w:val="Style18"/>
        <w:tabs>
          <w:tab w:val="left" w:pos="1215" w:leader="none"/>
        </w:tabs>
        <w:spacing w:lineRule="auto" w:line="240" w:before="0" w:after="0"/>
        <w:ind w:left="0" w:right="0" w:firstLine="870"/>
        <w:jc w:val="both"/>
        <w:rPr>
          <w:sz w:val="28"/>
          <w:color w:val="auto"/>
        </w:rPr>
      </w:pPr>
      <w:r>
        <w:rPr>
          <w:sz w:val="28"/>
        </w:rPr>
        <w:t>Настоящее предписание может быть обжаловано в суд (арбитражный суд) в соответствии с законодательством Российской Федерации.</w:t>
      </w:r>
      <w:r/>
    </w:p>
    <w:p>
      <w:pPr>
        <w:pStyle w:val="Style18"/>
        <w:ind w:left="0" w:right="0" w:hanging="0"/>
        <w:jc w:val="both"/>
        <w:rPr>
          <w:color w:val="auto"/>
        </w:rPr>
      </w:pPr>
      <w:r>
        <w:rPr/>
      </w:r>
      <w:r/>
    </w:p>
    <w:p>
      <w:pPr>
        <w:pStyle w:val="Normal"/>
        <w:shd w:fill="FFFFFF" w:val="clear"/>
        <w:tabs>
          <w:tab w:val="left" w:pos="3060" w:leader="none"/>
          <w:tab w:val="left" w:pos="3206" w:leader="none"/>
        </w:tabs>
        <w:spacing w:lineRule="exact" w:line="283" w:before="0" w:after="0"/>
        <w:ind w:left="18" w:right="0" w:hanging="0"/>
        <w:rPr>
          <w:sz w:val="28"/>
          <w:shd w:fill="auto" w:val="clear"/>
          <w:sz w:val="28"/>
          <w:szCs w:val="28"/>
          <w:color w:val="auto"/>
        </w:rPr>
      </w:pPr>
      <w:r>
        <w:rPr>
          <w:sz w:val="28"/>
          <w:szCs w:val="28"/>
          <w:shd w:fill="auto" w:val="clear"/>
        </w:rPr>
        <w:t xml:space="preserve">Заместитель Председателя Комиссии:                                                Мурашова В.О. </w:t>
      </w:r>
      <w:r/>
    </w:p>
    <w:p>
      <w:pPr>
        <w:pStyle w:val="Normal"/>
        <w:shd w:fill="FFFFFF" w:val="clear"/>
        <w:tabs>
          <w:tab w:val="left" w:pos="3060" w:leader="none"/>
          <w:tab w:val="left" w:pos="3206" w:leader="none"/>
          <w:tab w:val="left" w:pos="7973" w:leader="none"/>
          <w:tab w:val="left" w:pos="8192" w:leader="none"/>
        </w:tabs>
        <w:spacing w:lineRule="exact" w:line="283" w:before="0" w:after="0"/>
        <w:rPr>
          <w:sz w:val="28"/>
          <w:spacing w:val="1"/>
          <w:shd w:fill="auto" w:val="clear"/>
          <w:sz w:val="28"/>
          <w:szCs w:val="28"/>
          <w:rFonts w:ascii="Times New Roman" w:hAnsi="Times New Roman" w:cs="Times New Roman"/>
          <w:color w:val="000000"/>
          <w:lang w:val="ru-RU"/>
        </w:rPr>
      </w:pPr>
      <w:r>
        <w:rPr>
          <w:rFonts w:cs="Times New Roman"/>
          <w:color w:val="000000"/>
          <w:spacing w:val="1"/>
          <w:sz w:val="28"/>
          <w:szCs w:val="28"/>
          <w:shd w:fill="auto" w:val="clear"/>
          <w:lang w:val="ru-RU"/>
        </w:rPr>
      </w:r>
      <w:r/>
    </w:p>
    <w:p>
      <w:pPr>
        <w:pStyle w:val="Normal"/>
        <w:shd w:fill="FFFFFF" w:val="clear"/>
        <w:tabs>
          <w:tab w:val="left" w:pos="3060" w:leader="none"/>
          <w:tab w:val="left" w:pos="3206" w:leader="none"/>
          <w:tab w:val="left" w:pos="7973" w:leader="none"/>
          <w:tab w:val="left" w:pos="8192" w:leader="none"/>
        </w:tabs>
        <w:spacing w:lineRule="exact" w:line="283" w:before="0" w:after="0"/>
      </w:pPr>
      <w:r>
        <w:rPr>
          <w:rFonts w:cs="Times New Roman"/>
          <w:color w:val="000000"/>
          <w:spacing w:val="1"/>
          <w:sz w:val="28"/>
          <w:szCs w:val="28"/>
          <w:shd w:fill="auto" w:val="clear"/>
          <w:lang w:val="ru-RU"/>
        </w:rPr>
        <w:t xml:space="preserve">Члены Комиссии:                                                                           </w:t>
      </w:r>
      <w:r>
        <w:rPr>
          <w:rStyle w:val="Tendersubject1"/>
          <w:rFonts w:eastAsia="Arial CYR" w:cs="Times New Roman"/>
          <w:b w:val="false"/>
          <w:bCs/>
          <w:i w:val="false"/>
          <w:iCs w:val="false"/>
          <w:color w:val="auto"/>
          <w:spacing w:val="1"/>
          <w:sz w:val="28"/>
          <w:szCs w:val="28"/>
          <w:u w:val="none"/>
          <w:shd w:fill="auto" w:val="clear"/>
          <w:lang w:val="ru-RU"/>
        </w:rPr>
        <w:t xml:space="preserve">      Гордуз А.В.</w:t>
      </w:r>
      <w:r/>
    </w:p>
    <w:p>
      <w:pPr>
        <w:pStyle w:val="Normal"/>
        <w:shd w:fill="FFFFFF" w:val="clear"/>
        <w:tabs>
          <w:tab w:val="left" w:pos="3060" w:leader="none"/>
          <w:tab w:val="left" w:pos="3206" w:leader="none"/>
          <w:tab w:val="left" w:pos="7973" w:leader="none"/>
          <w:tab w:val="left" w:pos="8192" w:leader="none"/>
        </w:tabs>
        <w:spacing w:lineRule="exact" w:line="283" w:before="0" w:after="0"/>
      </w:pPr>
      <w:r>
        <w:rPr>
          <w:rStyle w:val="Tendersubject1"/>
          <w:rFonts w:eastAsia="Arial CYR" w:cs="Times New Roman"/>
          <w:b w:val="false"/>
          <w:bCs/>
          <w:i w:val="false"/>
          <w:iCs w:val="false"/>
          <w:color w:val="auto"/>
          <w:spacing w:val="1"/>
          <w:sz w:val="28"/>
          <w:szCs w:val="28"/>
          <w:u w:val="none"/>
          <w:shd w:fill="auto" w:val="clear"/>
          <w:lang w:val="ru-RU"/>
        </w:rPr>
        <w:t xml:space="preserve">                                                                 </w:t>
      </w:r>
      <w:r/>
    </w:p>
    <w:p>
      <w:pPr>
        <w:pStyle w:val="Normal"/>
        <w:shd w:fill="FFFFFF" w:val="clear"/>
        <w:tabs>
          <w:tab w:val="left" w:pos="3060" w:leader="none"/>
          <w:tab w:val="left" w:pos="3206" w:leader="none"/>
          <w:tab w:val="left" w:pos="7973" w:leader="none"/>
          <w:tab w:val="left" w:pos="8192" w:leader="none"/>
        </w:tabs>
        <w:spacing w:lineRule="exact" w:line="283" w:before="0" w:after="0"/>
      </w:pPr>
      <w:r>
        <w:rPr>
          <w:rStyle w:val="Tendersubject1"/>
          <w:rFonts w:eastAsia="Arial CYR" w:cs="Times New Roman"/>
          <w:b w:val="false"/>
          <w:bCs/>
          <w:i w:val="false"/>
          <w:iCs w:val="false"/>
          <w:color w:val="auto"/>
          <w:spacing w:val="1"/>
          <w:sz w:val="28"/>
          <w:szCs w:val="28"/>
          <w:u w:val="none"/>
          <w:shd w:fill="auto" w:val="clear"/>
          <w:lang w:val="ru-RU"/>
        </w:rPr>
        <w:t xml:space="preserve">                                                                                                               </w:t>
      </w:r>
      <w:r>
        <w:rPr>
          <w:rStyle w:val="Tendersubject1"/>
          <w:rFonts w:eastAsia="Arial CYR" w:cs="Times New Roman"/>
          <w:b w:val="false"/>
          <w:bCs/>
          <w:i w:val="false"/>
          <w:iCs w:val="false"/>
          <w:color w:val="auto"/>
          <w:spacing w:val="1"/>
          <w:sz w:val="28"/>
          <w:szCs w:val="28"/>
          <w:u w:val="none"/>
          <w:shd w:fill="auto" w:val="clear"/>
          <w:lang w:val="ru-RU"/>
        </w:rPr>
        <w:t>Гридина Е.В.</w:t>
      </w:r>
      <w:r/>
    </w:p>
    <w:p>
      <w:pPr>
        <w:pStyle w:val="Style18"/>
        <w:shd w:fill="FFFFFF" w:val="clear"/>
        <w:tabs>
          <w:tab w:val="left" w:pos="1020" w:leader="none"/>
          <w:tab w:val="center" w:pos="5215" w:leader="none"/>
        </w:tabs>
        <w:spacing w:lineRule="exact" w:line="283" w:before="0" w:after="0"/>
        <w:ind w:left="0" w:right="120" w:hanging="0"/>
        <w:jc w:val="left"/>
        <w:rPr>
          <w:sz w:val="16"/>
          <w:sz w:val="16"/>
          <w:szCs w:val="16"/>
          <w:color w:val="auto"/>
        </w:rPr>
      </w:pPr>
      <w:r>
        <w:rPr>
          <w:sz w:val="16"/>
          <w:szCs w:val="16"/>
        </w:rPr>
        <w:t xml:space="preserve">                                                                                                                 </w:t>
      </w:r>
      <w:r/>
    </w:p>
    <w:sectPr>
      <w:type w:val="nextPage"/>
      <w:pgSz w:w="11906" w:h="16838"/>
      <w:pgMar w:left="1095"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OpenSymbol">
    <w:altName w:val="Arial Unicode MS"/>
    <w:charset w:val="cc"/>
    <w:family w:val="auto"/>
    <w:pitch w:val="default"/>
  </w:font>
  <w:font w:name="Liberation Sans">
    <w:altName w:val="Arial"/>
    <w:charset w:val="cc"/>
    <w:family w:val="swiss"/>
    <w:pitch w:val="variable"/>
  </w:font>
  <w:font w:name="Arial">
    <w:charset w:val="cc"/>
    <w:family w:val="swiss"/>
    <w:pitch w:val="variable"/>
  </w:font>
  <w:font w:name="Times-Bold">
    <w:charset w:val="cc"/>
    <w:family w:val="roman"/>
    <w:pitch w:val="default"/>
  </w:font>
  <w:font w:name="Times-Roman">
    <w:altName w:val="Times New Roman"/>
    <w:charset w:val="cc"/>
    <w:family w:val="roman"/>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decimal"/>
      <w:lvlText w:val="%1."/>
      <w:lvlJc w:val="left"/>
      <w:pPr>
        <w:tabs>
          <w:tab w:val="num" w:pos="720"/>
        </w:tabs>
        <w:ind w:left="720" w:hanging="360"/>
      </w:pPr>
      <w:rPr>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3"/>
      <w:numFmt w:val="decimal"/>
      <w:lvlText w:val="%1."/>
      <w:lvlJc w:val="left"/>
      <w:pPr>
        <w:tabs>
          <w:tab w:val="num" w:pos="720"/>
        </w:tabs>
        <w:ind w:left="720" w:hanging="360"/>
      </w:pPr>
      <w:rPr>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720"/>
        </w:tabs>
        <w:ind w:left="720" w:hanging="360"/>
      </w:pPr>
      <w:rPr>
        <w:sz w:val="28"/>
        <w:szCs w:val="28"/>
      </w:rPr>
    </w:lvl>
    <w:lvl w:ilvl="1">
      <w:start w:val="1"/>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rPr>
        <w:sz w:val="28"/>
        <w:szCs w:val="28"/>
      </w:rPr>
    </w:lvl>
    <w:lvl w:ilvl="4">
      <w:start w:val="1"/>
      <w:numFmt w:val="decimal"/>
      <w:lvlText w:val="%5."/>
      <w:lvlJc w:val="left"/>
      <w:pPr>
        <w:tabs>
          <w:tab w:val="num" w:pos="2160"/>
        </w:tabs>
        <w:ind w:left="2160" w:hanging="360"/>
      </w:pPr>
      <w:rPr>
        <w:sz w:val="28"/>
        <w:szCs w:val="28"/>
      </w:rPr>
    </w:lvl>
    <w:lvl w:ilvl="5">
      <w:start w:val="1"/>
      <w:numFmt w:val="decimal"/>
      <w:lvlText w:val="%6."/>
      <w:lvlJc w:val="left"/>
      <w:pPr>
        <w:tabs>
          <w:tab w:val="num" w:pos="2520"/>
        </w:tabs>
        <w:ind w:left="2520" w:hanging="360"/>
      </w:pPr>
      <w:rPr>
        <w:sz w:val="28"/>
        <w:szCs w:val="28"/>
      </w:rPr>
    </w:lvl>
    <w:lvl w:ilvl="6">
      <w:start w:val="1"/>
      <w:numFmt w:val="decimal"/>
      <w:lvlText w:val="%7."/>
      <w:lvlJc w:val="left"/>
      <w:pPr>
        <w:tabs>
          <w:tab w:val="num" w:pos="2880"/>
        </w:tabs>
        <w:ind w:left="2880" w:hanging="360"/>
      </w:pPr>
      <w:rPr>
        <w:sz w:val="28"/>
        <w:szCs w:val="28"/>
      </w:rPr>
    </w:lvl>
    <w:lvl w:ilvl="7">
      <w:start w:val="1"/>
      <w:numFmt w:val="decimal"/>
      <w:lvlText w:val="%8."/>
      <w:lvlJc w:val="left"/>
      <w:pPr>
        <w:tabs>
          <w:tab w:val="num" w:pos="3240"/>
        </w:tabs>
        <w:ind w:left="3240" w:hanging="360"/>
      </w:pPr>
      <w:rPr>
        <w:sz w:val="28"/>
        <w:szCs w:val="28"/>
      </w:rPr>
    </w:lvl>
    <w:lvl w:ilvl="8">
      <w:start w:val="1"/>
      <w:numFmt w:val="decimal"/>
      <w:lvlText w:val="%9."/>
      <w:lvlJc w:val="left"/>
      <w:pPr>
        <w:tabs>
          <w:tab w:val="num" w:pos="3600"/>
        </w:tabs>
        <w:ind w:left="3600" w:hanging="360"/>
      </w:pPr>
      <w:rPr>
        <w:sz w:val="28"/>
        <w:szCs w:val="28"/>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6">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sz w:val="24"/>
        <w:szCs w:val="24"/>
        <w:lang w:val="ru-RU" w:eastAsia="zh-CN" w:bidi="hi-IN"/>
      </w:rPr>
    </w:rPrDefault>
    <w:pPrDefault>
      <w:pPr/>
    </w:pPrDefault>
  </w:docDefaults>
  <w:style w:type="paragraph" w:styleId="Normal">
    <w:name w:val="Normal"/>
    <w:pPr>
      <w:widowControl/>
      <w:suppressAutoHyphens w:val="true"/>
      <w:kinsoku w:val="true"/>
      <w:overflowPunct w:val="true"/>
      <w:autoSpaceDE w:val="true"/>
      <w:bidi w:val="0"/>
    </w:pPr>
    <w:rPr>
      <w:rFonts w:ascii="Times New Roman" w:hAnsi="Times New Roman" w:eastAsia="SimSun" w:cs="Mangal"/>
      <w:color w:val="auto"/>
      <w:sz w:val="24"/>
      <w:szCs w:val="24"/>
      <w:lang w:val="ru-RU" w:eastAsia="zh-CN" w:bidi="hi-IN"/>
    </w:rPr>
  </w:style>
  <w:style w:type="character" w:styleId="DefaultParagraphFont">
    <w:name w:val="Default Paragraph Font"/>
    <w:rPr/>
  </w:style>
  <w:style w:type="character" w:styleId="ListLabel1">
    <w:name w:val="ListLabel 1"/>
    <w:rPr>
      <w:rFonts w:cs="Courier New"/>
    </w:rPr>
  </w:style>
  <w:style w:type="character" w:styleId="Style14">
    <w:name w:val="Интернет-ссылка"/>
    <w:rPr>
      <w:color w:val="000080"/>
      <w:u w:val="single"/>
      <w:lang w:val="zxx" w:eastAsia="zxx" w:bidi="zxx"/>
    </w:rPr>
  </w:style>
  <w:style w:type="character" w:styleId="Style15">
    <w:name w:val="Символ нумерации"/>
    <w:rPr>
      <w:sz w:val="28"/>
      <w:szCs w:val="28"/>
    </w:rPr>
  </w:style>
  <w:style w:type="character" w:styleId="Style16">
    <w:name w:val="Маркеры списка"/>
    <w:rPr>
      <w:rFonts w:ascii="OpenSymbol" w:hAnsi="OpenSymbol" w:eastAsia="OpenSymbol" w:cs="OpenSymbol"/>
    </w:rPr>
  </w:style>
  <w:style w:type="character" w:styleId="Tendersubject1">
    <w:name w:val="tendersubject1"/>
    <w:rPr>
      <w:b/>
      <w:bCs/>
      <w:color w:val="0000FF"/>
      <w:sz w:val="20"/>
      <w:szCs w:val="20"/>
    </w:rPr>
  </w:style>
  <w:style w:type="paragraph" w:styleId="Style17">
    <w:name w:val="Заголовок"/>
    <w:basedOn w:val="Normal"/>
    <w:next w:val="Style18"/>
    <w:pPr>
      <w:keepNext/>
      <w:spacing w:before="240" w:after="120"/>
    </w:pPr>
    <w:rPr>
      <w:rFonts w:ascii="Liberation Sans" w:hAnsi="Liberation Sans" w:eastAsia="Microsoft YaHei" w:cs="Mangal"/>
      <w:sz w:val="28"/>
      <w:szCs w:val="28"/>
    </w:rPr>
  </w:style>
  <w:style w:type="paragraph" w:styleId="Style18">
    <w:name w:val="Основной текст"/>
    <w:basedOn w:val="Normal"/>
    <w:pPr>
      <w:spacing w:before="0" w:after="120"/>
    </w:pPr>
    <w:rPr/>
  </w:style>
  <w:style w:type="paragraph" w:styleId="Style19">
    <w:name w:val="Заглавие"/>
    <w:basedOn w:val="Normal"/>
    <w:next w:val="Style18"/>
    <w:pPr>
      <w:keepNext/>
      <w:spacing w:before="240" w:after="120"/>
    </w:pPr>
    <w:rPr>
      <w:rFonts w:ascii="Arial" w:hAnsi="Arial" w:eastAsia="Microsoft YaHei" w:cs="Mangal"/>
      <w:sz w:val="28"/>
      <w:szCs w:val="28"/>
    </w:rPr>
  </w:style>
  <w:style w:type="paragraph" w:styleId="Style20">
    <w:name w:val="Подзаголовок"/>
    <w:basedOn w:val="Style19"/>
    <w:next w:val="Style18"/>
    <w:pPr>
      <w:jc w:val="center"/>
    </w:pPr>
    <w:rPr>
      <w:i/>
      <w:iCs/>
      <w:sz w:val="28"/>
      <w:szCs w:val="28"/>
    </w:rPr>
  </w:style>
  <w:style w:type="paragraph" w:styleId="Style21">
    <w:name w:val="Список"/>
    <w:basedOn w:val="Style18"/>
    <w:pPr/>
    <w:rPr>
      <w:rFonts w:cs="Mangal"/>
    </w:rPr>
  </w:style>
  <w:style w:type="paragraph" w:styleId="Style22">
    <w:name w:val="Название"/>
    <w:basedOn w:val="Normal"/>
    <w:pPr>
      <w:suppressLineNumbers/>
      <w:spacing w:before="120" w:after="120"/>
    </w:pPr>
    <w:rPr>
      <w:rFonts w:cs="Mangal"/>
      <w:i/>
      <w:iCs/>
      <w:sz w:val="24"/>
      <w:szCs w:val="24"/>
    </w:rPr>
  </w:style>
  <w:style w:type="paragraph" w:styleId="Style23">
    <w:name w:val="Указатель"/>
    <w:basedOn w:val="Normal"/>
    <w:pPr>
      <w:suppressLineNumbers/>
    </w:pPr>
    <w:rPr>
      <w:rFonts w:cs="Mangal"/>
    </w:rPr>
  </w:style>
  <w:style w:type="paragraph" w:styleId="Style24">
    <w:name w:val="Содержимое таблицы"/>
    <w:basedOn w:val="Normal"/>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to77@fas.gov.ru"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1183</TotalTime>
  <Application>LibreOffice/4.3.1.2$Windows_x86 LibreOffice_project/958349dc3b25111dbca392fbc281a05559ef6848</Application>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2012-10-29T09:26:00Z</dcterms:created>
  <dc:creator>Пономарева</dc:creator>
  <dc:language>ru-RU</dc:language>
  <dcterms:modified xsi:type="dcterms:W3CDTF">2013-11-29T16:34:58Z</dcterms:modified>
  <cp:revision>20</cp:revision>
</cp:coreProperties>
</file>